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FD53" w14:textId="77777777" w:rsidR="000551DC" w:rsidRPr="0081737A" w:rsidRDefault="000551DC" w:rsidP="007F0E6E"/>
    <w:p w14:paraId="68954595" w14:textId="77777777" w:rsidR="002B23FE" w:rsidRDefault="002B23FE" w:rsidP="002B23FE"/>
    <w:p w14:paraId="419B46D6" w14:textId="77777777" w:rsidR="002B23FE" w:rsidRDefault="002B23FE" w:rsidP="002B23FE">
      <w:pPr>
        <w:spacing w:line="276" w:lineRule="auto"/>
        <w:jc w:val="left"/>
      </w:pPr>
    </w:p>
    <w:p w14:paraId="7CF9542F" w14:textId="77777777" w:rsidR="002B23FE" w:rsidRDefault="002B23FE" w:rsidP="002B23FE">
      <w:pPr>
        <w:spacing w:line="276" w:lineRule="auto"/>
        <w:jc w:val="left"/>
      </w:pPr>
    </w:p>
    <w:p w14:paraId="041F841E" w14:textId="77777777" w:rsidR="002B23FE" w:rsidRDefault="002B23FE" w:rsidP="002B23FE">
      <w:pPr>
        <w:spacing w:line="276" w:lineRule="auto"/>
        <w:jc w:val="left"/>
      </w:pPr>
    </w:p>
    <w:p w14:paraId="481C1BE2" w14:textId="77777777" w:rsidR="002B23FE" w:rsidRDefault="002B23FE" w:rsidP="002B23FE">
      <w:pPr>
        <w:spacing w:line="276" w:lineRule="auto"/>
        <w:jc w:val="left"/>
      </w:pPr>
    </w:p>
    <w:p w14:paraId="796694A6" w14:textId="77777777" w:rsidR="002B23FE" w:rsidRPr="008974DE" w:rsidRDefault="002B23FE" w:rsidP="00327120">
      <w:pPr>
        <w:pStyle w:val="Title"/>
        <w:suppressAutoHyphens/>
        <w:ind w:right="-612"/>
        <w:jc w:val="left"/>
        <w:rPr>
          <w:b/>
          <w:color w:val="4F81BD" w:themeColor="accent1"/>
        </w:rPr>
      </w:pPr>
      <w:r w:rsidRPr="008974DE">
        <w:rPr>
          <w:b/>
          <w:color w:val="4F81BD" w:themeColor="accent1"/>
        </w:rPr>
        <w:t>Statutory Valuation</w:t>
      </w:r>
      <w:r>
        <w:rPr>
          <w:b/>
          <w:color w:val="4F81BD" w:themeColor="accent1"/>
        </w:rPr>
        <w:t xml:space="preserve"> </w:t>
      </w:r>
      <w:r w:rsidRPr="008974DE">
        <w:rPr>
          <w:b/>
          <w:color w:val="4F81BD" w:themeColor="accent1"/>
        </w:rPr>
        <w:t>of</w:t>
      </w:r>
    </w:p>
    <w:p w14:paraId="6F61A58E" w14:textId="77777777" w:rsidR="002B23FE" w:rsidRDefault="002B23FE" w:rsidP="00327120">
      <w:pPr>
        <w:pStyle w:val="Title"/>
        <w:suppressAutoHyphens/>
        <w:ind w:right="-612"/>
        <w:jc w:val="left"/>
        <w:rPr>
          <w:b/>
          <w:color w:val="4F81BD" w:themeColor="accent1"/>
        </w:rPr>
      </w:pPr>
      <w:r w:rsidRPr="008974DE">
        <w:rPr>
          <w:b/>
          <w:color w:val="4F81BD" w:themeColor="accent1"/>
        </w:rPr>
        <w:t>Individual Life and</w:t>
      </w:r>
      <w:r>
        <w:rPr>
          <w:b/>
          <w:color w:val="4F81BD" w:themeColor="accent1"/>
        </w:rPr>
        <w:t xml:space="preserve"> </w:t>
      </w:r>
      <w:r w:rsidRPr="008974DE">
        <w:rPr>
          <w:b/>
          <w:color w:val="4F81BD" w:themeColor="accent1"/>
        </w:rPr>
        <w:t>Annuity Contracts</w:t>
      </w:r>
    </w:p>
    <w:p w14:paraId="10191F2B" w14:textId="77777777" w:rsidR="002B23FE" w:rsidRDefault="002B23FE" w:rsidP="002B23FE">
      <w:pPr>
        <w:pStyle w:val="Title"/>
      </w:pPr>
    </w:p>
    <w:p w14:paraId="2ECD5B5C" w14:textId="3DD95359" w:rsidR="002B23FE" w:rsidRDefault="002B23FE" w:rsidP="002B23FE">
      <w:pPr>
        <w:pStyle w:val="Subtitle"/>
        <w:jc w:val="left"/>
        <w:rPr>
          <w:color w:val="4F81BD" w:themeColor="accent1"/>
        </w:rPr>
      </w:pPr>
      <w:r w:rsidRPr="008974DE">
        <w:rPr>
          <w:color w:val="4F81BD" w:themeColor="accent1"/>
        </w:rPr>
        <w:t xml:space="preserve">Errata for Volume </w:t>
      </w:r>
      <w:r w:rsidR="00C12502">
        <w:rPr>
          <w:color w:val="4F81BD" w:themeColor="accent1"/>
        </w:rPr>
        <w:t>2</w:t>
      </w:r>
    </w:p>
    <w:p w14:paraId="27DA6C18" w14:textId="77777777" w:rsidR="002B23FE" w:rsidRDefault="002B23FE" w:rsidP="002B23FE"/>
    <w:p w14:paraId="0171899F" w14:textId="77777777" w:rsidR="002B23FE" w:rsidRDefault="002B23FE" w:rsidP="002B23FE"/>
    <w:p w14:paraId="7BB95560" w14:textId="77777777" w:rsidR="002B23FE" w:rsidRDefault="002B23FE" w:rsidP="002B23FE"/>
    <w:p w14:paraId="100D420F" w14:textId="77777777" w:rsidR="002B23FE" w:rsidRDefault="002B23FE" w:rsidP="002B23FE"/>
    <w:p w14:paraId="67ABF3F7" w14:textId="77777777" w:rsidR="002B23FE" w:rsidRDefault="002B23FE" w:rsidP="002B23FE"/>
    <w:p w14:paraId="4ABB459D" w14:textId="77777777" w:rsidR="002B23FE" w:rsidRDefault="002B23FE" w:rsidP="002B23FE"/>
    <w:p w14:paraId="0D6A6DAE" w14:textId="6BB1259C" w:rsidR="002B23FE" w:rsidRDefault="002B23FE" w:rsidP="002B23FE"/>
    <w:p w14:paraId="05FCB2B5" w14:textId="77777777" w:rsidR="00C42260" w:rsidRDefault="00C42260" w:rsidP="002B23FE"/>
    <w:p w14:paraId="46FE774A" w14:textId="77777777" w:rsidR="002B23FE" w:rsidRDefault="002B23FE" w:rsidP="002B23FE"/>
    <w:p w14:paraId="2B332BE0" w14:textId="77777777" w:rsidR="002B23FE" w:rsidRDefault="002B23FE" w:rsidP="002B23FE"/>
    <w:p w14:paraId="6526E99E" w14:textId="77777777" w:rsidR="002B23FE" w:rsidRDefault="002B23FE" w:rsidP="002B23FE"/>
    <w:p w14:paraId="20DD49E9" w14:textId="4BCD134B" w:rsidR="002B23FE" w:rsidRPr="008974DE" w:rsidRDefault="002B23FE" w:rsidP="002B23FE">
      <w:pPr>
        <w:jc w:val="right"/>
      </w:pPr>
      <w:r>
        <w:t xml:space="preserve">Last Updated: </w:t>
      </w:r>
      <w:r w:rsidR="00624E9E">
        <w:t>January 12, 2022</w:t>
      </w:r>
    </w:p>
    <w:p w14:paraId="3F425C1B" w14:textId="77777777" w:rsidR="00F15C07" w:rsidRDefault="00F15C07">
      <w:pPr>
        <w:jc w:val="left"/>
      </w:pPr>
      <w:r>
        <w:br w:type="page"/>
      </w:r>
    </w:p>
    <w:p w14:paraId="6FD43FD0" w14:textId="77777777" w:rsidR="00135097" w:rsidRDefault="00135097">
      <w:pPr>
        <w:jc w:val="left"/>
      </w:pPr>
    </w:p>
    <w:p w14:paraId="7C001D69" w14:textId="77777777" w:rsidR="002B23FE" w:rsidRDefault="002B23FE">
      <w:pPr>
        <w:jc w:val="left"/>
        <w:sectPr w:rsidR="002B23FE" w:rsidSect="007F0E6E">
          <w:footerReference w:type="first" r:id="rId8"/>
          <w:pgSz w:w="12240" w:h="15840"/>
          <w:pgMar w:top="1440" w:right="2016" w:bottom="2016" w:left="2016" w:header="720" w:footer="720" w:gutter="360"/>
          <w:cols w:space="720"/>
          <w:titlePg/>
          <w:docGrid w:linePitch="360"/>
        </w:sectPr>
      </w:pPr>
    </w:p>
    <w:p w14:paraId="3CA0FDC2" w14:textId="183E3070" w:rsidR="00135097" w:rsidRPr="00762857" w:rsidRDefault="00762857" w:rsidP="00762857">
      <w:pPr>
        <w:jc w:val="center"/>
        <w:rPr>
          <w:b/>
          <w:sz w:val="36"/>
          <w:szCs w:val="36"/>
        </w:rPr>
      </w:pPr>
      <w:r w:rsidRPr="00762857">
        <w:rPr>
          <w:b/>
          <w:sz w:val="36"/>
          <w:szCs w:val="36"/>
        </w:rPr>
        <w:lastRenderedPageBreak/>
        <w:t>Table of Contents</w:t>
      </w:r>
    </w:p>
    <w:p w14:paraId="49F2E335" w14:textId="77777777" w:rsidR="00762857" w:rsidRDefault="00762857">
      <w:pPr>
        <w:jc w:val="left"/>
      </w:pPr>
    </w:p>
    <w:p w14:paraId="666959DA" w14:textId="0C4C65A3" w:rsidR="000062F5" w:rsidRDefault="002B23FE">
      <w:pPr>
        <w:pStyle w:val="TOC1"/>
        <w:rPr>
          <w:rFonts w:asciiTheme="minorHAnsi" w:hAnsiTheme="minorHAnsi"/>
          <w:b w:val="0"/>
          <w:szCs w:val="22"/>
          <w:lang w:eastAsia="en-US"/>
        </w:rPr>
      </w:pPr>
      <w:r>
        <w:fldChar w:fldCharType="begin"/>
      </w:r>
      <w:r>
        <w:instrText xml:space="preserve"> TOC \o "1-3" \u </w:instrText>
      </w:r>
      <w:r>
        <w:fldChar w:fldCharType="separate"/>
      </w:r>
      <w:r w:rsidR="000062F5" w:rsidRPr="00094F3B">
        <w:rPr>
          <w:b w:val="0"/>
          <w:color w:val="000000"/>
        </w:rPr>
        <w:t>1.</w:t>
      </w:r>
      <w:r w:rsidR="000062F5">
        <w:t xml:space="preserve"> Introduction</w:t>
      </w:r>
      <w:r w:rsidR="000062F5">
        <w:tab/>
      </w:r>
      <w:r w:rsidR="000062F5">
        <w:fldChar w:fldCharType="begin"/>
      </w:r>
      <w:r w:rsidR="000062F5">
        <w:instrText xml:space="preserve"> PAGEREF _Toc92952664 \h </w:instrText>
      </w:r>
      <w:r w:rsidR="000062F5">
        <w:fldChar w:fldCharType="separate"/>
      </w:r>
      <w:r w:rsidR="000062F5">
        <w:t>1</w:t>
      </w:r>
      <w:r w:rsidR="000062F5">
        <w:fldChar w:fldCharType="end"/>
      </w:r>
    </w:p>
    <w:p w14:paraId="72A8F05C" w14:textId="0955BAE4" w:rsidR="000062F5" w:rsidRDefault="000062F5">
      <w:pPr>
        <w:pStyle w:val="TOC1"/>
        <w:rPr>
          <w:rFonts w:asciiTheme="minorHAnsi" w:hAnsiTheme="minorHAnsi"/>
          <w:b w:val="0"/>
          <w:szCs w:val="22"/>
          <w:lang w:eastAsia="en-US"/>
        </w:rPr>
      </w:pPr>
      <w:r w:rsidRPr="00094F3B">
        <w:rPr>
          <w:b w:val="0"/>
          <w:color w:val="000000"/>
        </w:rPr>
        <w:t>2.</w:t>
      </w:r>
      <w:r>
        <w:t xml:space="preserve"> Chapter 23</w:t>
      </w:r>
      <w:r>
        <w:tab/>
      </w:r>
      <w:r>
        <w:fldChar w:fldCharType="begin"/>
      </w:r>
      <w:r>
        <w:instrText xml:space="preserve"> PAGEREF _Toc92952665 \h </w:instrText>
      </w:r>
      <w:r>
        <w:fldChar w:fldCharType="separate"/>
      </w:r>
      <w:r>
        <w:t>2</w:t>
      </w:r>
      <w:r>
        <w:fldChar w:fldCharType="end"/>
      </w:r>
    </w:p>
    <w:p w14:paraId="5619F667" w14:textId="0E73F439" w:rsidR="000062F5" w:rsidRDefault="000062F5">
      <w:pPr>
        <w:pStyle w:val="TOC2"/>
        <w:rPr>
          <w:rFonts w:asciiTheme="minorHAnsi" w:hAnsiTheme="minorHAnsi"/>
          <w:szCs w:val="22"/>
          <w:lang w:eastAsia="en-US"/>
        </w:rPr>
      </w:pPr>
      <w:r>
        <w:t>2.1</w:t>
      </w:r>
      <w:r>
        <w:rPr>
          <w:rFonts w:asciiTheme="minorHAnsi" w:hAnsiTheme="minorHAnsi"/>
          <w:szCs w:val="22"/>
          <w:lang w:eastAsia="en-US"/>
        </w:rPr>
        <w:tab/>
      </w:r>
      <w:r>
        <w:t>Page 23</w:t>
      </w:r>
      <w:r>
        <w:tab/>
      </w:r>
      <w:r>
        <w:fldChar w:fldCharType="begin"/>
      </w:r>
      <w:r>
        <w:instrText xml:space="preserve"> PAGEREF _Toc92952666 \h </w:instrText>
      </w:r>
      <w:r>
        <w:fldChar w:fldCharType="separate"/>
      </w:r>
      <w:r>
        <w:t>2</w:t>
      </w:r>
      <w:r>
        <w:fldChar w:fldCharType="end"/>
      </w:r>
    </w:p>
    <w:p w14:paraId="3D0EA65C" w14:textId="10FC7E4A" w:rsidR="000062F5" w:rsidRDefault="000062F5">
      <w:pPr>
        <w:pStyle w:val="TOC2"/>
        <w:rPr>
          <w:rFonts w:asciiTheme="minorHAnsi" w:hAnsiTheme="minorHAnsi"/>
          <w:szCs w:val="22"/>
          <w:lang w:eastAsia="en-US"/>
        </w:rPr>
      </w:pPr>
      <w:r>
        <w:t>2.2</w:t>
      </w:r>
      <w:r>
        <w:rPr>
          <w:rFonts w:asciiTheme="minorHAnsi" w:hAnsiTheme="minorHAnsi"/>
          <w:szCs w:val="22"/>
          <w:lang w:eastAsia="en-US"/>
        </w:rPr>
        <w:tab/>
      </w:r>
      <w:r>
        <w:t>Page 37</w:t>
      </w:r>
      <w:r>
        <w:tab/>
      </w:r>
      <w:r>
        <w:fldChar w:fldCharType="begin"/>
      </w:r>
      <w:r>
        <w:instrText xml:space="preserve"> PAGEREF _Toc92952667 \h </w:instrText>
      </w:r>
      <w:r>
        <w:fldChar w:fldCharType="separate"/>
      </w:r>
      <w:r>
        <w:t>2</w:t>
      </w:r>
      <w:r>
        <w:fldChar w:fldCharType="end"/>
      </w:r>
    </w:p>
    <w:p w14:paraId="7610E233" w14:textId="79B0698E" w:rsidR="000062F5" w:rsidRDefault="000062F5">
      <w:pPr>
        <w:pStyle w:val="TOC2"/>
        <w:rPr>
          <w:rFonts w:asciiTheme="minorHAnsi" w:hAnsiTheme="minorHAnsi"/>
          <w:szCs w:val="22"/>
          <w:lang w:eastAsia="en-US"/>
        </w:rPr>
      </w:pPr>
      <w:r>
        <w:t>2.3</w:t>
      </w:r>
      <w:r>
        <w:rPr>
          <w:rFonts w:asciiTheme="minorHAnsi" w:hAnsiTheme="minorHAnsi"/>
          <w:szCs w:val="22"/>
          <w:lang w:eastAsia="en-US"/>
        </w:rPr>
        <w:tab/>
      </w:r>
      <w:r>
        <w:t>Page 42</w:t>
      </w:r>
      <w:r>
        <w:tab/>
      </w:r>
      <w:r>
        <w:fldChar w:fldCharType="begin"/>
      </w:r>
      <w:r>
        <w:instrText xml:space="preserve"> PAGEREF _Toc92952668 \h </w:instrText>
      </w:r>
      <w:r>
        <w:fldChar w:fldCharType="separate"/>
      </w:r>
      <w:r>
        <w:t>3</w:t>
      </w:r>
      <w:r>
        <w:fldChar w:fldCharType="end"/>
      </w:r>
    </w:p>
    <w:p w14:paraId="00C2A303" w14:textId="66FF9EA4" w:rsidR="000062F5" w:rsidRDefault="000062F5">
      <w:pPr>
        <w:pStyle w:val="TOC2"/>
        <w:rPr>
          <w:rFonts w:asciiTheme="minorHAnsi" w:hAnsiTheme="minorHAnsi"/>
          <w:szCs w:val="22"/>
          <w:lang w:eastAsia="en-US"/>
        </w:rPr>
      </w:pPr>
      <w:r>
        <w:t>2.4</w:t>
      </w:r>
      <w:r>
        <w:rPr>
          <w:rFonts w:asciiTheme="minorHAnsi" w:hAnsiTheme="minorHAnsi"/>
          <w:szCs w:val="22"/>
          <w:lang w:eastAsia="en-US"/>
        </w:rPr>
        <w:tab/>
      </w:r>
      <w:r>
        <w:t>Page 48</w:t>
      </w:r>
      <w:r>
        <w:tab/>
      </w:r>
      <w:r>
        <w:fldChar w:fldCharType="begin"/>
      </w:r>
      <w:r>
        <w:instrText xml:space="preserve"> PAGEREF _Toc92952669 \h </w:instrText>
      </w:r>
      <w:r>
        <w:fldChar w:fldCharType="separate"/>
      </w:r>
      <w:r>
        <w:t>4</w:t>
      </w:r>
      <w:r>
        <w:fldChar w:fldCharType="end"/>
      </w:r>
    </w:p>
    <w:p w14:paraId="45F44D88" w14:textId="15585FDD" w:rsidR="000062F5" w:rsidRDefault="000062F5">
      <w:pPr>
        <w:pStyle w:val="TOC2"/>
        <w:rPr>
          <w:rFonts w:asciiTheme="minorHAnsi" w:hAnsiTheme="minorHAnsi"/>
          <w:szCs w:val="22"/>
          <w:lang w:eastAsia="en-US"/>
        </w:rPr>
      </w:pPr>
      <w:r>
        <w:t>2.5</w:t>
      </w:r>
      <w:r>
        <w:rPr>
          <w:rFonts w:asciiTheme="minorHAnsi" w:hAnsiTheme="minorHAnsi"/>
          <w:szCs w:val="22"/>
          <w:lang w:eastAsia="en-US"/>
        </w:rPr>
        <w:tab/>
      </w:r>
      <w:r>
        <w:t>Page 54</w:t>
      </w:r>
      <w:r>
        <w:tab/>
      </w:r>
      <w:r>
        <w:fldChar w:fldCharType="begin"/>
      </w:r>
      <w:r>
        <w:instrText xml:space="preserve"> PAGEREF _Toc92952670 \h </w:instrText>
      </w:r>
      <w:r>
        <w:fldChar w:fldCharType="separate"/>
      </w:r>
      <w:r>
        <w:t>4</w:t>
      </w:r>
      <w:r>
        <w:fldChar w:fldCharType="end"/>
      </w:r>
    </w:p>
    <w:p w14:paraId="484F3106" w14:textId="74F9336D" w:rsidR="000062F5" w:rsidRDefault="000062F5">
      <w:pPr>
        <w:pStyle w:val="TOC2"/>
        <w:rPr>
          <w:rFonts w:asciiTheme="minorHAnsi" w:hAnsiTheme="minorHAnsi"/>
          <w:szCs w:val="22"/>
          <w:lang w:eastAsia="en-US"/>
        </w:rPr>
      </w:pPr>
      <w:r>
        <w:t>2.6</w:t>
      </w:r>
      <w:r>
        <w:rPr>
          <w:rFonts w:asciiTheme="minorHAnsi" w:hAnsiTheme="minorHAnsi"/>
          <w:szCs w:val="22"/>
          <w:lang w:eastAsia="en-US"/>
        </w:rPr>
        <w:tab/>
      </w:r>
      <w:r>
        <w:t>Page 57</w:t>
      </w:r>
      <w:r>
        <w:tab/>
      </w:r>
      <w:r>
        <w:fldChar w:fldCharType="begin"/>
      </w:r>
      <w:r>
        <w:instrText xml:space="preserve"> PAGEREF _Toc92952671 \h </w:instrText>
      </w:r>
      <w:r>
        <w:fldChar w:fldCharType="separate"/>
      </w:r>
      <w:r>
        <w:t>4</w:t>
      </w:r>
      <w:r>
        <w:fldChar w:fldCharType="end"/>
      </w:r>
    </w:p>
    <w:p w14:paraId="21189796" w14:textId="1FA466E9" w:rsidR="000062F5" w:rsidRDefault="000062F5">
      <w:pPr>
        <w:pStyle w:val="TOC2"/>
        <w:rPr>
          <w:rFonts w:asciiTheme="minorHAnsi" w:hAnsiTheme="minorHAnsi"/>
          <w:szCs w:val="22"/>
          <w:lang w:eastAsia="en-US"/>
        </w:rPr>
      </w:pPr>
      <w:r>
        <w:t>2.7</w:t>
      </w:r>
      <w:r>
        <w:rPr>
          <w:rFonts w:asciiTheme="minorHAnsi" w:hAnsiTheme="minorHAnsi"/>
          <w:szCs w:val="22"/>
          <w:lang w:eastAsia="en-US"/>
        </w:rPr>
        <w:tab/>
      </w:r>
      <w:r>
        <w:t>Page 59</w:t>
      </w:r>
      <w:r>
        <w:tab/>
      </w:r>
      <w:r>
        <w:fldChar w:fldCharType="begin"/>
      </w:r>
      <w:r>
        <w:instrText xml:space="preserve"> PAGEREF _Toc92952672 \h </w:instrText>
      </w:r>
      <w:r>
        <w:fldChar w:fldCharType="separate"/>
      </w:r>
      <w:r>
        <w:t>6</w:t>
      </w:r>
      <w:r>
        <w:fldChar w:fldCharType="end"/>
      </w:r>
    </w:p>
    <w:p w14:paraId="477C1841" w14:textId="660BF391" w:rsidR="000062F5" w:rsidRDefault="000062F5">
      <w:pPr>
        <w:pStyle w:val="TOC1"/>
        <w:rPr>
          <w:rFonts w:asciiTheme="minorHAnsi" w:hAnsiTheme="minorHAnsi"/>
          <w:b w:val="0"/>
          <w:szCs w:val="22"/>
          <w:lang w:eastAsia="en-US"/>
        </w:rPr>
      </w:pPr>
      <w:r w:rsidRPr="00094F3B">
        <w:rPr>
          <w:b w:val="0"/>
          <w:color w:val="000000"/>
        </w:rPr>
        <w:t>3.</w:t>
      </w:r>
      <w:r>
        <w:t xml:space="preserve"> Chapter 29</w:t>
      </w:r>
      <w:r>
        <w:tab/>
      </w:r>
      <w:r>
        <w:fldChar w:fldCharType="begin"/>
      </w:r>
      <w:r>
        <w:instrText xml:space="preserve"> PAGEREF _Toc92952673 \h </w:instrText>
      </w:r>
      <w:r>
        <w:fldChar w:fldCharType="separate"/>
      </w:r>
      <w:r>
        <w:t>7</w:t>
      </w:r>
      <w:r>
        <w:fldChar w:fldCharType="end"/>
      </w:r>
    </w:p>
    <w:p w14:paraId="7EBB4961" w14:textId="014DD49E" w:rsidR="000062F5" w:rsidRDefault="000062F5">
      <w:pPr>
        <w:pStyle w:val="TOC2"/>
        <w:rPr>
          <w:rFonts w:asciiTheme="minorHAnsi" w:hAnsiTheme="minorHAnsi"/>
          <w:szCs w:val="22"/>
          <w:lang w:eastAsia="en-US"/>
        </w:rPr>
      </w:pPr>
      <w:r>
        <w:t>3.1</w:t>
      </w:r>
      <w:r>
        <w:rPr>
          <w:rFonts w:asciiTheme="minorHAnsi" w:hAnsiTheme="minorHAnsi"/>
          <w:szCs w:val="22"/>
          <w:lang w:eastAsia="en-US"/>
        </w:rPr>
        <w:tab/>
      </w:r>
      <w:r>
        <w:t>Page 411</w:t>
      </w:r>
      <w:r>
        <w:tab/>
      </w:r>
      <w:r>
        <w:fldChar w:fldCharType="begin"/>
      </w:r>
      <w:r>
        <w:instrText xml:space="preserve"> PAGEREF _Toc92952674 \h </w:instrText>
      </w:r>
      <w:r>
        <w:fldChar w:fldCharType="separate"/>
      </w:r>
      <w:r>
        <w:t>7</w:t>
      </w:r>
      <w:r>
        <w:fldChar w:fldCharType="end"/>
      </w:r>
    </w:p>
    <w:p w14:paraId="71FB1149" w14:textId="1ACE038C" w:rsidR="000062F5" w:rsidRDefault="000062F5">
      <w:pPr>
        <w:pStyle w:val="TOC2"/>
        <w:rPr>
          <w:rFonts w:asciiTheme="minorHAnsi" w:hAnsiTheme="minorHAnsi"/>
          <w:szCs w:val="22"/>
          <w:lang w:eastAsia="en-US"/>
        </w:rPr>
      </w:pPr>
      <w:r>
        <w:t>3.2</w:t>
      </w:r>
      <w:r>
        <w:rPr>
          <w:rFonts w:asciiTheme="minorHAnsi" w:hAnsiTheme="minorHAnsi"/>
          <w:szCs w:val="22"/>
          <w:lang w:eastAsia="en-US"/>
        </w:rPr>
        <w:tab/>
      </w:r>
      <w:r>
        <w:t>Page 412</w:t>
      </w:r>
      <w:r>
        <w:tab/>
      </w:r>
      <w:r>
        <w:fldChar w:fldCharType="begin"/>
      </w:r>
      <w:r>
        <w:instrText xml:space="preserve"> PAGEREF _Toc92952675 \h </w:instrText>
      </w:r>
      <w:r>
        <w:fldChar w:fldCharType="separate"/>
      </w:r>
      <w:r>
        <w:t>8</w:t>
      </w:r>
      <w:r>
        <w:fldChar w:fldCharType="end"/>
      </w:r>
    </w:p>
    <w:p w14:paraId="47D311E2" w14:textId="1E95B87F" w:rsidR="000062F5" w:rsidRDefault="000062F5">
      <w:pPr>
        <w:pStyle w:val="TOC2"/>
        <w:rPr>
          <w:rFonts w:asciiTheme="minorHAnsi" w:hAnsiTheme="minorHAnsi"/>
          <w:szCs w:val="22"/>
          <w:lang w:eastAsia="en-US"/>
        </w:rPr>
      </w:pPr>
      <w:r>
        <w:t>3.3</w:t>
      </w:r>
      <w:r>
        <w:rPr>
          <w:rFonts w:asciiTheme="minorHAnsi" w:hAnsiTheme="minorHAnsi"/>
          <w:szCs w:val="22"/>
          <w:lang w:eastAsia="en-US"/>
        </w:rPr>
        <w:tab/>
      </w:r>
      <w:r>
        <w:t>Page 413</w:t>
      </w:r>
      <w:r>
        <w:tab/>
      </w:r>
      <w:r>
        <w:fldChar w:fldCharType="begin"/>
      </w:r>
      <w:r>
        <w:instrText xml:space="preserve"> PAGEREF _Toc92952676 \h </w:instrText>
      </w:r>
      <w:r>
        <w:fldChar w:fldCharType="separate"/>
      </w:r>
      <w:r>
        <w:t>9</w:t>
      </w:r>
      <w:r>
        <w:fldChar w:fldCharType="end"/>
      </w:r>
    </w:p>
    <w:p w14:paraId="4BAA87D2" w14:textId="0761E864" w:rsidR="002B23FE" w:rsidRDefault="002B23FE">
      <w:pPr>
        <w:jc w:val="left"/>
      </w:pPr>
      <w:r>
        <w:fldChar w:fldCharType="end"/>
      </w:r>
    </w:p>
    <w:p w14:paraId="1AB49629" w14:textId="1CF168A8" w:rsidR="002B23FE" w:rsidRDefault="002B23FE">
      <w:pPr>
        <w:jc w:val="left"/>
      </w:pPr>
    </w:p>
    <w:p w14:paraId="7448ACA0" w14:textId="23136DCA" w:rsidR="002B23FE" w:rsidRDefault="002B23FE">
      <w:pPr>
        <w:jc w:val="left"/>
      </w:pPr>
    </w:p>
    <w:p w14:paraId="3B679502" w14:textId="77777777" w:rsidR="002B23FE" w:rsidRDefault="002B23FE">
      <w:pPr>
        <w:jc w:val="left"/>
      </w:pPr>
    </w:p>
    <w:p w14:paraId="0733C43C" w14:textId="77777777" w:rsidR="00135097" w:rsidRDefault="00135097">
      <w:pPr>
        <w:jc w:val="left"/>
        <w:sectPr w:rsidR="00135097" w:rsidSect="007F0E6E">
          <w:pgSz w:w="12240" w:h="15840"/>
          <w:pgMar w:top="1440" w:right="2016" w:bottom="2016" w:left="2016" w:header="720" w:footer="720" w:gutter="360"/>
          <w:cols w:space="720"/>
          <w:titlePg/>
          <w:docGrid w:linePitch="360"/>
        </w:sectPr>
      </w:pPr>
    </w:p>
    <w:p w14:paraId="3D526647" w14:textId="77777777" w:rsidR="002B23FE" w:rsidRPr="002B23FE" w:rsidRDefault="002B23FE" w:rsidP="002B23FE">
      <w:pPr>
        <w:pStyle w:val="Heading1"/>
      </w:pPr>
      <w:bookmarkStart w:id="0" w:name="_Toc527971647"/>
      <w:bookmarkStart w:id="1" w:name="_Toc527971725"/>
      <w:bookmarkStart w:id="2" w:name="_Toc92952664"/>
      <w:r w:rsidRPr="002B23FE">
        <w:lastRenderedPageBreak/>
        <w:t>Introduction</w:t>
      </w:r>
      <w:bookmarkEnd w:id="0"/>
      <w:bookmarkEnd w:id="1"/>
      <w:bookmarkEnd w:id="2"/>
    </w:p>
    <w:p w14:paraId="1D2A7C33" w14:textId="77777777" w:rsidR="002B23FE" w:rsidRDefault="002B23FE" w:rsidP="002B23FE"/>
    <w:p w14:paraId="01EB722B" w14:textId="60E55569" w:rsidR="002B23FE" w:rsidRDefault="002B23FE" w:rsidP="002B23FE">
      <w:r>
        <w:t xml:space="preserve">The purpose of this document is to provide a list of the errata for Volume </w:t>
      </w:r>
      <w:r w:rsidR="00C12502">
        <w:t>2</w:t>
      </w:r>
      <w:r>
        <w:t xml:space="preserve"> of the </w:t>
      </w:r>
      <w:bookmarkStart w:id="3" w:name="_Hlk526671738"/>
      <w:r w:rsidRPr="00482695">
        <w:rPr>
          <w:i/>
        </w:rPr>
        <w:t>Statutory Valuation of Individual Life and Annuity Contracts</w:t>
      </w:r>
      <w:bookmarkEnd w:id="3"/>
      <w:r>
        <w:t xml:space="preserve">. </w:t>
      </w:r>
    </w:p>
    <w:p w14:paraId="40879398" w14:textId="77777777" w:rsidR="002B23FE" w:rsidRDefault="002B23FE" w:rsidP="002B23FE"/>
    <w:p w14:paraId="2C35FC00" w14:textId="77777777" w:rsidR="002B23FE" w:rsidRDefault="002B23FE" w:rsidP="002B23FE"/>
    <w:p w14:paraId="2E1144F2" w14:textId="77777777" w:rsidR="002B23FE" w:rsidRDefault="002B23FE" w:rsidP="002B23FE">
      <w:r>
        <w:br w:type="page"/>
      </w:r>
    </w:p>
    <w:p w14:paraId="678ED38D" w14:textId="02EFF439" w:rsidR="002B23FE" w:rsidRDefault="002B23FE" w:rsidP="002B23FE">
      <w:pPr>
        <w:pStyle w:val="Heading1"/>
      </w:pPr>
      <w:bookmarkStart w:id="4" w:name="_Toc527971648"/>
      <w:bookmarkStart w:id="5" w:name="_Toc527971726"/>
      <w:bookmarkStart w:id="6" w:name="_Toc92952665"/>
      <w:r w:rsidRPr="00633AA4">
        <w:lastRenderedPageBreak/>
        <w:t>Chapter</w:t>
      </w:r>
      <w:r>
        <w:t xml:space="preserve"> </w:t>
      </w:r>
      <w:bookmarkEnd w:id="4"/>
      <w:bookmarkEnd w:id="5"/>
      <w:r w:rsidR="00C12502">
        <w:t>23</w:t>
      </w:r>
      <w:bookmarkEnd w:id="6"/>
    </w:p>
    <w:p w14:paraId="6D56A7AE" w14:textId="2F8ECAD2" w:rsidR="002B23FE" w:rsidRDefault="002B23FE" w:rsidP="002B23FE">
      <w:pPr>
        <w:pStyle w:val="Heading2"/>
      </w:pPr>
      <w:bookmarkStart w:id="7" w:name="_Toc527971649"/>
      <w:bookmarkStart w:id="8" w:name="_Toc527971727"/>
      <w:bookmarkStart w:id="9" w:name="_Toc92952666"/>
      <w:r>
        <w:t xml:space="preserve">Page </w:t>
      </w:r>
      <w:bookmarkEnd w:id="7"/>
      <w:bookmarkEnd w:id="8"/>
      <w:r w:rsidR="00C12502">
        <w:t>23</w:t>
      </w:r>
      <w:bookmarkEnd w:id="9"/>
    </w:p>
    <w:p w14:paraId="306BA7C9" w14:textId="11CFC8DB" w:rsidR="002B23FE" w:rsidRDefault="002B23FE" w:rsidP="002B23FE">
      <w:r>
        <w:t xml:space="preserve">The last sentence of the first paragraph on Page </w:t>
      </w:r>
      <w:r w:rsidR="00C12502">
        <w:t>23</w:t>
      </w:r>
      <w:r>
        <w:t xml:space="preserve"> of Section </w:t>
      </w:r>
      <w:r w:rsidR="00C12502">
        <w:t>23</w:t>
      </w:r>
      <w:r>
        <w:t>.3:</w:t>
      </w:r>
    </w:p>
    <w:p w14:paraId="2D10A150" w14:textId="50B369CA" w:rsidR="002B23FE" w:rsidRDefault="00C12502" w:rsidP="002B23FE">
      <w:pPr>
        <w:ind w:left="360"/>
      </w:pPr>
      <w:r w:rsidRPr="00C12502">
        <w:t>As was discussed in Chapters 13 and 14, a term insurance policy or a universal life insurance policy with secondary guarantees may be subject to calculations based on VM-20 even if it was issued prior to January 1, 2017.</w:t>
      </w:r>
    </w:p>
    <w:p w14:paraId="720944FD" w14:textId="18E2DBB0" w:rsidR="002B23FE" w:rsidRDefault="00E672DC" w:rsidP="002B23FE">
      <w:r>
        <w:t>s</w:t>
      </w:r>
      <w:r w:rsidR="002B23FE">
        <w:t>hould be changed to:</w:t>
      </w:r>
    </w:p>
    <w:p w14:paraId="68A89053" w14:textId="4365D749" w:rsidR="002B23FE" w:rsidRPr="0026087A" w:rsidRDefault="00C12502" w:rsidP="002B23FE">
      <w:pPr>
        <w:ind w:left="360"/>
      </w:pPr>
      <w:r>
        <w:t>A</w:t>
      </w:r>
      <w:r w:rsidRPr="00C12502">
        <w:t xml:space="preserve"> term insurance policy or a universal life insurance policy with secondary guarantees may be subject to calculations based on VM-20 even if it was issued prior to January 1, 2017.</w:t>
      </w:r>
      <w:r>
        <w:t xml:space="preserve"> </w:t>
      </w:r>
      <w:r w:rsidRPr="00C12502">
        <w:t>One example of where calculations based on VM20 may apply for a policy issued prior to 1/1/2017 is a policy that falls under Actuarial Guideline 38 section 8D.  This section applies to certain ULSG policies (those with multiple charges or credits) issued between 7/1/2005 and 12/31/2012, and generally requires (with some exceptions) that the reserve be the greater of the one according to the methodology previously used by a company or the reserve calculated according to the Valuation Manual (with some modifications).</w:t>
      </w:r>
    </w:p>
    <w:p w14:paraId="336C93AF" w14:textId="3E6D43FB" w:rsidR="002B23FE" w:rsidRDefault="002B23FE" w:rsidP="002B23FE">
      <w:pPr>
        <w:ind w:left="360"/>
      </w:pPr>
      <w:r>
        <w:t xml:space="preserve"> </w:t>
      </w:r>
    </w:p>
    <w:p w14:paraId="2F868968" w14:textId="754505A2" w:rsidR="00401A18" w:rsidRDefault="00401A18" w:rsidP="00401A18">
      <w:pPr>
        <w:pStyle w:val="Heading2"/>
      </w:pPr>
      <w:bookmarkStart w:id="10" w:name="_Toc92952667"/>
      <w:r>
        <w:t xml:space="preserve">Page </w:t>
      </w:r>
      <w:r w:rsidR="0022623C">
        <w:t>3</w:t>
      </w:r>
      <w:r>
        <w:t>7</w:t>
      </w:r>
      <w:bookmarkEnd w:id="10"/>
    </w:p>
    <w:p w14:paraId="5752203D" w14:textId="48F3156B" w:rsidR="00401A18" w:rsidRDefault="00401A18" w:rsidP="00401A18">
      <w:r>
        <w:t xml:space="preserve">The </w:t>
      </w:r>
      <w:r w:rsidR="0022623C">
        <w:t>formula</w:t>
      </w:r>
      <w:r>
        <w:t xml:space="preserve"> in </w:t>
      </w:r>
      <w:r w:rsidR="0022623C">
        <w:t>the first paragraph</w:t>
      </w:r>
      <w:r>
        <w:t xml:space="preserve"> on Page </w:t>
      </w:r>
      <w:r w:rsidR="0022623C">
        <w:t>3</w:t>
      </w:r>
      <w:r>
        <w:t>7 of Section 23.</w:t>
      </w:r>
      <w:r w:rsidR="0022623C">
        <w:t>6</w:t>
      </w:r>
      <w:r>
        <w:t>.</w:t>
      </w:r>
      <w:r w:rsidR="0022623C">
        <w:t>1</w:t>
      </w:r>
      <w:r>
        <w:t>:</w:t>
      </w:r>
    </w:p>
    <w:p w14:paraId="56F85BCC" w14:textId="77777777" w:rsidR="0022623C" w:rsidRDefault="0022623C" w:rsidP="0022623C">
      <w:pPr>
        <w:ind w:firstLine="720"/>
      </w:pPr>
      <w:r w:rsidRPr="003C6066">
        <w:rPr>
          <w:position w:val="-36"/>
        </w:rPr>
        <w:object w:dxaOrig="3340" w:dyaOrig="780" w14:anchorId="30897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5pt;height:35.8pt" o:ole="">
            <v:imagedata r:id="rId9" o:title=""/>
          </v:shape>
          <o:OLEObject Type="Embed" ProgID="Equation.DSMT4" ShapeID="_x0000_i1025" DrawAspect="Content" ObjectID="_1703566199" r:id="rId10"/>
        </w:object>
      </w:r>
      <w:r>
        <w:t xml:space="preserve"> </w:t>
      </w:r>
    </w:p>
    <w:p w14:paraId="4909BE74" w14:textId="77777777" w:rsidR="00401A18" w:rsidRDefault="00401A18" w:rsidP="00401A18">
      <w:r>
        <w:t>should be changed to:</w:t>
      </w:r>
    </w:p>
    <w:p w14:paraId="359F812F" w14:textId="5A78A3D4" w:rsidR="0022623C" w:rsidRDefault="0022623C" w:rsidP="0022623C">
      <w:pPr>
        <w:ind w:firstLine="720"/>
      </w:pPr>
      <w:r w:rsidRPr="0022623C">
        <w:rPr>
          <w:position w:val="-34"/>
        </w:rPr>
        <w:object w:dxaOrig="3340" w:dyaOrig="820" w14:anchorId="049DD275">
          <v:shape id="_x0000_i1026" type="#_x0000_t75" style="width:165.65pt;height:37.55pt" o:ole="">
            <v:imagedata r:id="rId11" o:title=""/>
          </v:shape>
          <o:OLEObject Type="Embed" ProgID="Equation.DSMT4" ShapeID="_x0000_i1026" DrawAspect="Content" ObjectID="_1703566200" r:id="rId12"/>
        </w:object>
      </w:r>
      <w:r>
        <w:t xml:space="preserve"> </w:t>
      </w:r>
    </w:p>
    <w:p w14:paraId="6B1C46B0" w14:textId="5D99134A" w:rsidR="008B5020" w:rsidRDefault="008B5020" w:rsidP="008B5020">
      <w:pPr>
        <w:ind w:left="360"/>
      </w:pPr>
    </w:p>
    <w:p w14:paraId="5485E00A" w14:textId="2EF0B786" w:rsidR="008B5020" w:rsidRDefault="008B5020">
      <w:pPr>
        <w:spacing w:line="276" w:lineRule="auto"/>
        <w:jc w:val="left"/>
      </w:pPr>
      <w:r>
        <w:br w:type="page"/>
      </w:r>
    </w:p>
    <w:p w14:paraId="36D0C214" w14:textId="1FC4C7FF" w:rsidR="008B5020" w:rsidRDefault="008B5020" w:rsidP="008B5020">
      <w:pPr>
        <w:pStyle w:val="Heading2"/>
      </w:pPr>
      <w:bookmarkStart w:id="11" w:name="_Toc92952668"/>
      <w:r>
        <w:lastRenderedPageBreak/>
        <w:t>Page 42</w:t>
      </w:r>
      <w:bookmarkEnd w:id="11"/>
    </w:p>
    <w:p w14:paraId="57076B46" w14:textId="46BFC498" w:rsidR="008B5020" w:rsidRDefault="008B5020" w:rsidP="008B5020">
      <w:r>
        <w:t xml:space="preserve">The </w:t>
      </w:r>
      <w:r w:rsidR="00194D2E">
        <w:t>formula</w:t>
      </w:r>
      <w:r>
        <w:t xml:space="preserve"> for the net premium reserve </w:t>
      </w:r>
      <w:r w:rsidR="00194D2E">
        <w:t>at</w:t>
      </w:r>
      <w:r>
        <w:t xml:space="preserve"> the bottom of Page 42 of Section 23.6.2 should be change from</w:t>
      </w:r>
      <w:r w:rsidR="00194D2E">
        <w:t>:</w:t>
      </w:r>
    </w:p>
    <w:p w14:paraId="52AB434E" w14:textId="77777777" w:rsidR="008B5020" w:rsidRDefault="008B5020" w:rsidP="008B5020"/>
    <w:p w14:paraId="0F41F03D" w14:textId="77777777" w:rsidR="008B5020" w:rsidRDefault="008B5020" w:rsidP="008B5020">
      <w:pPr>
        <w:ind w:firstLine="720"/>
      </w:pPr>
      <w:r w:rsidRPr="003F4349">
        <w:rPr>
          <w:position w:val="-36"/>
        </w:rPr>
        <w:object w:dxaOrig="3820" w:dyaOrig="840" w14:anchorId="0FF09071">
          <v:shape id="_x0000_i1027" type="#_x0000_t75" style="width:189.05pt;height:41.95pt" o:ole="">
            <v:imagedata r:id="rId13" o:title=""/>
          </v:shape>
          <o:OLEObject Type="Embed" ProgID="Equation.DSMT4" ShapeID="_x0000_i1027" DrawAspect="Content" ObjectID="_1703566201" r:id="rId14"/>
        </w:object>
      </w:r>
      <w:r>
        <w:t xml:space="preserve"> </w:t>
      </w:r>
    </w:p>
    <w:p w14:paraId="6FAA1306" w14:textId="77777777" w:rsidR="008B5020" w:rsidRDefault="008B5020" w:rsidP="008B5020">
      <w:proofErr w:type="gramStart"/>
      <w:r>
        <w:t>where</w:t>
      </w:r>
      <w:proofErr w:type="gramEnd"/>
    </w:p>
    <w:p w14:paraId="6AA8B63A" w14:textId="77777777" w:rsidR="008B5020" w:rsidRDefault="008B5020" w:rsidP="008B5020">
      <w:pPr>
        <w:tabs>
          <w:tab w:val="left" w:pos="360"/>
          <w:tab w:val="left" w:pos="1440"/>
          <w:tab w:val="left" w:pos="1800"/>
        </w:tabs>
        <w:ind w:left="1800" w:hanging="1800"/>
        <w:contextualSpacing/>
      </w:pPr>
      <w:r>
        <w:tab/>
      </w:r>
      <w:r w:rsidRPr="003F4349">
        <w:rPr>
          <w:position w:val="-12"/>
        </w:rPr>
        <w:object w:dxaOrig="400" w:dyaOrig="360" w14:anchorId="1AE1E93D">
          <v:shape id="_x0000_i1028" type="#_x0000_t75" style="width:20.3pt;height:18.1pt" o:ole="">
            <v:imagedata r:id="rId15" o:title=""/>
          </v:shape>
          <o:OLEObject Type="Embed" ProgID="Equation.DSMT4" ShapeID="_x0000_i1028" DrawAspect="Content" ObjectID="_1703566202" r:id="rId16"/>
        </w:object>
      </w:r>
      <w:r>
        <w:tab/>
        <w:t>=</w:t>
      </w:r>
      <w:r>
        <w:tab/>
        <w:t xml:space="preserve">issue age of the </w:t>
      </w:r>
      <w:r w:rsidRPr="00EC116A">
        <w:rPr>
          <w:i/>
        </w:rPr>
        <w:t>i</w:t>
      </w:r>
      <w:r w:rsidRPr="00EC116A">
        <w:rPr>
          <w:vertAlign w:val="superscript"/>
        </w:rPr>
        <w:t>th</w:t>
      </w:r>
      <w:r>
        <w:t xml:space="preserve"> policy in the group;</w:t>
      </w:r>
      <w:r>
        <w:tab/>
      </w:r>
    </w:p>
    <w:p w14:paraId="6563C262" w14:textId="77777777" w:rsidR="008B5020" w:rsidRDefault="008B5020" w:rsidP="008B5020">
      <w:pPr>
        <w:tabs>
          <w:tab w:val="left" w:pos="360"/>
          <w:tab w:val="left" w:pos="1440"/>
          <w:tab w:val="left" w:pos="1800"/>
        </w:tabs>
        <w:ind w:left="1800" w:hanging="1800"/>
        <w:contextualSpacing/>
      </w:pPr>
      <w:r>
        <w:tab/>
      </w:r>
      <w:r w:rsidRPr="003F4349">
        <w:rPr>
          <w:position w:val="-6"/>
        </w:rPr>
        <w:object w:dxaOrig="139" w:dyaOrig="240" w14:anchorId="67BD86C0">
          <v:shape id="_x0000_i1029" type="#_x0000_t75" style="width:6.65pt;height:12.8pt" o:ole="">
            <v:imagedata r:id="rId17" o:title=""/>
          </v:shape>
          <o:OLEObject Type="Embed" ProgID="Equation.DSMT4" ShapeID="_x0000_i1029" DrawAspect="Content" ObjectID="_1703566203" r:id="rId18"/>
        </w:object>
      </w:r>
      <w:r>
        <w:t xml:space="preserve"> </w:t>
      </w:r>
      <w:r>
        <w:tab/>
        <w:t>=</w:t>
      </w:r>
      <w:r>
        <w:tab/>
        <w:t>number of time periods from issue date to valuation date;</w:t>
      </w:r>
    </w:p>
    <w:p w14:paraId="3F251859" w14:textId="77777777" w:rsidR="008B5020" w:rsidRDefault="008B5020" w:rsidP="008B5020">
      <w:pPr>
        <w:tabs>
          <w:tab w:val="left" w:pos="360"/>
          <w:tab w:val="left" w:pos="1440"/>
          <w:tab w:val="left" w:pos="1800"/>
        </w:tabs>
        <w:ind w:left="1800" w:hanging="1800"/>
        <w:contextualSpacing/>
      </w:pPr>
      <w:r>
        <w:tab/>
      </w:r>
      <w:r w:rsidRPr="003F4349">
        <w:rPr>
          <w:position w:val="-14"/>
        </w:rPr>
        <w:object w:dxaOrig="580" w:dyaOrig="360" w14:anchorId="6CE7596D">
          <v:shape id="_x0000_i1030" type="#_x0000_t75" style="width:29.15pt;height:18.1pt" o:ole="">
            <v:imagedata r:id="rId19" o:title=""/>
          </v:shape>
          <o:OLEObject Type="Embed" ProgID="Equation.DSMT4" ShapeID="_x0000_i1030" DrawAspect="Content" ObjectID="_1703566204" r:id="rId20"/>
        </w:object>
      </w:r>
      <w:r>
        <w:tab/>
        <w:t>=</w:t>
      </w:r>
      <w:r>
        <w:tab/>
        <w:t>actuarial present value of future benefits on valuation date;</w:t>
      </w:r>
    </w:p>
    <w:p w14:paraId="0D23D3A5" w14:textId="77777777" w:rsidR="008B5020" w:rsidRDefault="008B5020" w:rsidP="008B5020">
      <w:pPr>
        <w:tabs>
          <w:tab w:val="left" w:pos="360"/>
          <w:tab w:val="left" w:pos="1440"/>
          <w:tab w:val="left" w:pos="1800"/>
        </w:tabs>
        <w:ind w:left="1800" w:hanging="1800"/>
        <w:contextualSpacing/>
      </w:pPr>
      <w:r>
        <w:tab/>
      </w:r>
      <w:r w:rsidRPr="003F4349">
        <w:rPr>
          <w:position w:val="-14"/>
        </w:rPr>
        <w:object w:dxaOrig="560" w:dyaOrig="360" w14:anchorId="025E9719">
          <v:shape id="_x0000_i1031" type="#_x0000_t75" style="width:27.85pt;height:18.1pt" o:ole="">
            <v:imagedata r:id="rId21" o:title=""/>
          </v:shape>
          <o:OLEObject Type="Embed" ProgID="Equation.DSMT4" ShapeID="_x0000_i1031" DrawAspect="Content" ObjectID="_1703566205" r:id="rId22"/>
        </w:object>
      </w:r>
      <w:r>
        <w:tab/>
        <w:t>=</w:t>
      </w:r>
      <w:r>
        <w:tab/>
        <w:t xml:space="preserve">expense allowance; </w:t>
      </w:r>
    </w:p>
    <w:p w14:paraId="327B1518" w14:textId="77777777" w:rsidR="008B5020" w:rsidRDefault="008B5020" w:rsidP="008B5020">
      <w:pPr>
        <w:tabs>
          <w:tab w:val="left" w:pos="360"/>
          <w:tab w:val="left" w:pos="1440"/>
          <w:tab w:val="left" w:pos="1800"/>
        </w:tabs>
        <w:ind w:left="1800" w:hanging="1800"/>
        <w:contextualSpacing/>
      </w:pPr>
      <w:r>
        <w:tab/>
      </w:r>
      <w:r w:rsidRPr="003F4349">
        <w:rPr>
          <w:position w:val="-14"/>
        </w:rPr>
        <w:object w:dxaOrig="400" w:dyaOrig="360" w14:anchorId="01D74E29">
          <v:shape id="_x0000_i1032" type="#_x0000_t75" style="width:20.3pt;height:18.1pt" o:ole="">
            <v:imagedata r:id="rId23" o:title=""/>
          </v:shape>
          <o:OLEObject Type="Embed" ProgID="Equation.DSMT4" ShapeID="_x0000_i1032" DrawAspect="Content" ObjectID="_1703566206" r:id="rId24"/>
        </w:object>
      </w:r>
      <w:r>
        <w:tab/>
        <w:t>=</w:t>
      </w:r>
      <w:r>
        <w:tab/>
        <w:t>annual valuation premium in the first policy year; and</w:t>
      </w:r>
    </w:p>
    <w:p w14:paraId="36E4FD61" w14:textId="77777777" w:rsidR="008B5020" w:rsidRDefault="008B5020" w:rsidP="008B5020">
      <w:pPr>
        <w:tabs>
          <w:tab w:val="left" w:pos="360"/>
          <w:tab w:val="left" w:pos="1440"/>
          <w:tab w:val="left" w:pos="1800"/>
        </w:tabs>
        <w:ind w:left="1800" w:hanging="1800"/>
      </w:pPr>
      <w:r>
        <w:tab/>
      </w:r>
      <w:r w:rsidRPr="003F4349">
        <w:rPr>
          <w:position w:val="-16"/>
        </w:rPr>
        <w:object w:dxaOrig="560" w:dyaOrig="400" w14:anchorId="3BDE3797">
          <v:shape id="_x0000_i1033" type="#_x0000_t75" style="width:27.85pt;height:20.3pt" o:ole="">
            <v:imagedata r:id="rId25" o:title=""/>
          </v:shape>
          <o:OLEObject Type="Embed" ProgID="Equation.DSMT4" ShapeID="_x0000_i1033" DrawAspect="Content" ObjectID="_1703566207" r:id="rId26"/>
        </w:object>
      </w:r>
      <w:r>
        <w:tab/>
        <w:t>=</w:t>
      </w:r>
      <w:r>
        <w:tab/>
        <w:t>present value of an annuity on valuation date.</w:t>
      </w:r>
    </w:p>
    <w:p w14:paraId="5B64FCE4" w14:textId="47282B47" w:rsidR="008B5020" w:rsidRDefault="00194D2E" w:rsidP="008B5020">
      <w:r>
        <w:t>To the following formula:</w:t>
      </w:r>
    </w:p>
    <w:p w14:paraId="4C46A25A" w14:textId="372C06E1" w:rsidR="008B5020" w:rsidRDefault="00194D2E" w:rsidP="008B5020">
      <w:pPr>
        <w:ind w:firstLine="720"/>
      </w:pPr>
      <w:r w:rsidRPr="00194D2E">
        <w:rPr>
          <w:position w:val="-16"/>
        </w:rPr>
        <w:object w:dxaOrig="2900" w:dyaOrig="400" w14:anchorId="62270079">
          <v:shape id="_x0000_i1034" type="#_x0000_t75" style="width:143.55pt;height:19.9pt" o:ole="">
            <v:imagedata r:id="rId27" o:title=""/>
          </v:shape>
          <o:OLEObject Type="Embed" ProgID="Equation.DSMT4" ShapeID="_x0000_i1034" DrawAspect="Content" ObjectID="_1703566208" r:id="rId28"/>
        </w:object>
      </w:r>
      <w:r w:rsidR="008B5020">
        <w:t xml:space="preserve"> </w:t>
      </w:r>
    </w:p>
    <w:p w14:paraId="4CCF2346" w14:textId="77777777" w:rsidR="008B5020" w:rsidRDefault="008B5020" w:rsidP="008B5020">
      <w:proofErr w:type="gramStart"/>
      <w:r>
        <w:t>where</w:t>
      </w:r>
      <w:proofErr w:type="gramEnd"/>
    </w:p>
    <w:p w14:paraId="41890055" w14:textId="77777777" w:rsidR="008B5020" w:rsidRDefault="008B5020" w:rsidP="008B5020">
      <w:pPr>
        <w:tabs>
          <w:tab w:val="left" w:pos="360"/>
          <w:tab w:val="left" w:pos="1440"/>
          <w:tab w:val="left" w:pos="1800"/>
        </w:tabs>
        <w:ind w:left="1800" w:hanging="1800"/>
        <w:contextualSpacing/>
      </w:pPr>
      <w:r>
        <w:tab/>
      </w:r>
      <w:r w:rsidRPr="003F4349">
        <w:rPr>
          <w:position w:val="-12"/>
        </w:rPr>
        <w:object w:dxaOrig="400" w:dyaOrig="360" w14:anchorId="0D4A198C">
          <v:shape id="_x0000_i1035" type="#_x0000_t75" style="width:20.3pt;height:18.1pt" o:ole="">
            <v:imagedata r:id="rId15" o:title=""/>
          </v:shape>
          <o:OLEObject Type="Embed" ProgID="Equation.DSMT4" ShapeID="_x0000_i1035" DrawAspect="Content" ObjectID="_1703566209" r:id="rId29"/>
        </w:object>
      </w:r>
      <w:r>
        <w:tab/>
        <w:t>=</w:t>
      </w:r>
      <w:r>
        <w:tab/>
        <w:t xml:space="preserve">issue age of the </w:t>
      </w:r>
      <w:r w:rsidRPr="00EC116A">
        <w:rPr>
          <w:i/>
        </w:rPr>
        <w:t>i</w:t>
      </w:r>
      <w:r w:rsidRPr="00EC116A">
        <w:rPr>
          <w:vertAlign w:val="superscript"/>
        </w:rPr>
        <w:t>th</w:t>
      </w:r>
      <w:r>
        <w:t xml:space="preserve"> policy in the group;</w:t>
      </w:r>
      <w:r>
        <w:tab/>
      </w:r>
    </w:p>
    <w:p w14:paraId="3FDE96CB" w14:textId="77777777" w:rsidR="008B5020" w:rsidRDefault="008B5020" w:rsidP="008B5020">
      <w:pPr>
        <w:tabs>
          <w:tab w:val="left" w:pos="360"/>
          <w:tab w:val="left" w:pos="1440"/>
          <w:tab w:val="left" w:pos="1800"/>
        </w:tabs>
        <w:ind w:left="1800" w:hanging="1800"/>
        <w:contextualSpacing/>
      </w:pPr>
      <w:r>
        <w:tab/>
      </w:r>
      <w:r w:rsidRPr="003F4349">
        <w:rPr>
          <w:position w:val="-6"/>
        </w:rPr>
        <w:object w:dxaOrig="139" w:dyaOrig="240" w14:anchorId="6EC2BF70">
          <v:shape id="_x0000_i1036" type="#_x0000_t75" style="width:6.65pt;height:12.8pt" o:ole="">
            <v:imagedata r:id="rId17" o:title=""/>
          </v:shape>
          <o:OLEObject Type="Embed" ProgID="Equation.DSMT4" ShapeID="_x0000_i1036" DrawAspect="Content" ObjectID="_1703566210" r:id="rId30"/>
        </w:object>
      </w:r>
      <w:r>
        <w:t xml:space="preserve"> </w:t>
      </w:r>
      <w:r>
        <w:tab/>
        <w:t>=</w:t>
      </w:r>
      <w:r>
        <w:tab/>
        <w:t>number of time periods from issue date to valuation date;</w:t>
      </w:r>
    </w:p>
    <w:p w14:paraId="594BC263" w14:textId="77777777" w:rsidR="008B5020" w:rsidRDefault="008B5020" w:rsidP="008B5020">
      <w:pPr>
        <w:tabs>
          <w:tab w:val="left" w:pos="360"/>
          <w:tab w:val="left" w:pos="1440"/>
          <w:tab w:val="left" w:pos="1800"/>
        </w:tabs>
        <w:ind w:left="1800" w:hanging="1800"/>
        <w:contextualSpacing/>
      </w:pPr>
      <w:r>
        <w:tab/>
      </w:r>
      <w:r w:rsidRPr="003F4349">
        <w:rPr>
          <w:position w:val="-14"/>
        </w:rPr>
        <w:object w:dxaOrig="580" w:dyaOrig="360" w14:anchorId="403712A4">
          <v:shape id="_x0000_i1037" type="#_x0000_t75" style="width:29.15pt;height:18.1pt" o:ole="">
            <v:imagedata r:id="rId19" o:title=""/>
          </v:shape>
          <o:OLEObject Type="Embed" ProgID="Equation.DSMT4" ShapeID="_x0000_i1037" DrawAspect="Content" ObjectID="_1703566211" r:id="rId31"/>
        </w:object>
      </w:r>
      <w:r>
        <w:tab/>
        <w:t>=</w:t>
      </w:r>
      <w:r>
        <w:tab/>
        <w:t>actuarial present value of future benefits on valuation date;</w:t>
      </w:r>
    </w:p>
    <w:p w14:paraId="583A3D65" w14:textId="77777777" w:rsidR="008B5020" w:rsidRDefault="008B5020" w:rsidP="008B5020">
      <w:pPr>
        <w:tabs>
          <w:tab w:val="left" w:pos="360"/>
          <w:tab w:val="left" w:pos="1440"/>
          <w:tab w:val="left" w:pos="1800"/>
        </w:tabs>
        <w:ind w:left="1800" w:hanging="1800"/>
        <w:contextualSpacing/>
      </w:pPr>
      <w:r>
        <w:tab/>
      </w:r>
      <w:r w:rsidRPr="003F4349">
        <w:rPr>
          <w:position w:val="-14"/>
        </w:rPr>
        <w:object w:dxaOrig="400" w:dyaOrig="360" w14:anchorId="04FDB17B">
          <v:shape id="_x0000_i1038" type="#_x0000_t75" style="width:20.3pt;height:18.1pt" o:ole="">
            <v:imagedata r:id="rId23" o:title=""/>
          </v:shape>
          <o:OLEObject Type="Embed" ProgID="Equation.DSMT4" ShapeID="_x0000_i1038" DrawAspect="Content" ObjectID="_1703566212" r:id="rId32"/>
        </w:object>
      </w:r>
      <w:r>
        <w:tab/>
        <w:t>=</w:t>
      </w:r>
      <w:r>
        <w:tab/>
        <w:t>annual valuation premium in the first policy year; and</w:t>
      </w:r>
    </w:p>
    <w:p w14:paraId="4D523A49" w14:textId="77777777" w:rsidR="008B5020" w:rsidRDefault="008B5020" w:rsidP="008B5020">
      <w:pPr>
        <w:tabs>
          <w:tab w:val="left" w:pos="360"/>
          <w:tab w:val="left" w:pos="1440"/>
          <w:tab w:val="left" w:pos="1800"/>
        </w:tabs>
        <w:ind w:left="1800" w:hanging="1800"/>
      </w:pPr>
      <w:r>
        <w:tab/>
      </w:r>
      <w:r w:rsidRPr="003F4349">
        <w:rPr>
          <w:position w:val="-16"/>
        </w:rPr>
        <w:object w:dxaOrig="560" w:dyaOrig="400" w14:anchorId="138E7681">
          <v:shape id="_x0000_i1039" type="#_x0000_t75" style="width:27.85pt;height:20.3pt" o:ole="">
            <v:imagedata r:id="rId25" o:title=""/>
          </v:shape>
          <o:OLEObject Type="Embed" ProgID="Equation.DSMT4" ShapeID="_x0000_i1039" DrawAspect="Content" ObjectID="_1703566213" r:id="rId33"/>
        </w:object>
      </w:r>
      <w:r>
        <w:tab/>
        <w:t>=</w:t>
      </w:r>
      <w:r>
        <w:tab/>
        <w:t>present value of an annuity on valuation date.</w:t>
      </w:r>
    </w:p>
    <w:p w14:paraId="06DC2600" w14:textId="77777777" w:rsidR="00194D2E" w:rsidRDefault="00194D2E">
      <w:pPr>
        <w:spacing w:line="276" w:lineRule="auto"/>
        <w:jc w:val="left"/>
      </w:pPr>
    </w:p>
    <w:p w14:paraId="22710B5F" w14:textId="77777777" w:rsidR="00194D2E" w:rsidRDefault="00194D2E">
      <w:pPr>
        <w:spacing w:line="276" w:lineRule="auto"/>
        <w:jc w:val="left"/>
      </w:pPr>
      <w:r>
        <w:t>In addition, the following should be added:</w:t>
      </w:r>
    </w:p>
    <w:p w14:paraId="39A1FA08" w14:textId="2B0CF331" w:rsidR="00194D2E" w:rsidRDefault="00194D2E" w:rsidP="00194D2E">
      <w:pPr>
        <w:spacing w:before="100" w:beforeAutospacing="1" w:after="100" w:afterAutospacing="1"/>
        <w:ind w:left="360" w:right="1080"/>
        <w:rPr>
          <w:rFonts w:ascii="Times New Roman" w:hAnsi="Times New Roman" w:cs="Times New Roman"/>
          <w:i/>
          <w:iCs/>
          <w:sz w:val="24"/>
        </w:rPr>
      </w:pPr>
      <w:r>
        <w:rPr>
          <w:rFonts w:ascii="Times New Roman" w:hAnsi="Times New Roman" w:cs="Times New Roman"/>
          <w:i/>
          <w:iCs/>
          <w:sz w:val="24"/>
        </w:rPr>
        <w:t>Net Premium Reserves for policies with a secondary guarantee in force are the greater of the results described above</w:t>
      </w:r>
      <w:r w:rsidR="00117B8D">
        <w:rPr>
          <w:rFonts w:ascii="Times New Roman" w:hAnsi="Times New Roman" w:cs="Times New Roman"/>
          <w:i/>
          <w:iCs/>
          <w:sz w:val="24"/>
        </w:rPr>
        <w:t>, and one that</w:t>
      </w:r>
      <w:r>
        <w:rPr>
          <w:rFonts w:ascii="Times New Roman" w:hAnsi="Times New Roman" w:cs="Times New Roman"/>
          <w:i/>
          <w:iCs/>
          <w:sz w:val="24"/>
        </w:rPr>
        <w:t xml:space="preserve"> considers the mortality, interest rate and expenses in the secondary guarantee. This is further described in Section 3.B.6 of VM-20 of the valuation manual.</w:t>
      </w:r>
    </w:p>
    <w:p w14:paraId="06C23DB2" w14:textId="0951CEA3" w:rsidR="008B5020" w:rsidRDefault="008B5020">
      <w:pPr>
        <w:spacing w:line="276" w:lineRule="auto"/>
        <w:jc w:val="left"/>
      </w:pPr>
      <w:r>
        <w:br w:type="page"/>
      </w:r>
    </w:p>
    <w:p w14:paraId="7EE10E3A" w14:textId="13E5DD12" w:rsidR="008B5020" w:rsidRDefault="008B5020">
      <w:pPr>
        <w:spacing w:line="276" w:lineRule="auto"/>
        <w:jc w:val="left"/>
      </w:pPr>
    </w:p>
    <w:p w14:paraId="71588802" w14:textId="682736AC" w:rsidR="00117B8D" w:rsidRDefault="00117B8D" w:rsidP="00117B8D">
      <w:pPr>
        <w:pStyle w:val="Heading2"/>
      </w:pPr>
      <w:bookmarkStart w:id="12" w:name="_Toc92952669"/>
      <w:r>
        <w:t>Page 48</w:t>
      </w:r>
      <w:bookmarkEnd w:id="12"/>
    </w:p>
    <w:p w14:paraId="6C66A664" w14:textId="0E058B6B" w:rsidR="00117B8D" w:rsidRDefault="00117B8D" w:rsidP="00117B8D">
      <w:r>
        <w:t>The description of Column (4) in Figure 23.15 should be changed from:</w:t>
      </w:r>
    </w:p>
    <w:p w14:paraId="05C24205" w14:textId="7D425A93" w:rsidR="00117B8D" w:rsidRDefault="00117B8D" w:rsidP="00117B8D">
      <w:pPr>
        <w:ind w:firstLine="720"/>
      </w:pPr>
      <w:r>
        <w:t>(4) Invested Assets (excluding interest policy loans)</w:t>
      </w:r>
    </w:p>
    <w:p w14:paraId="7599A7D8" w14:textId="256290F6" w:rsidR="00117B8D" w:rsidRDefault="00117B8D" w:rsidP="00117B8D">
      <w:r>
        <w:t>To</w:t>
      </w:r>
    </w:p>
    <w:p w14:paraId="14C86E0D" w14:textId="6832A856" w:rsidR="00117B8D" w:rsidRDefault="00117B8D" w:rsidP="00117B8D">
      <w:pPr>
        <w:ind w:firstLine="720"/>
      </w:pPr>
      <w:r>
        <w:t>(4) Invested Assets (excluding policy loans)</w:t>
      </w:r>
    </w:p>
    <w:p w14:paraId="745EBBD3" w14:textId="77777777" w:rsidR="00117B8D" w:rsidRDefault="00117B8D">
      <w:pPr>
        <w:spacing w:line="276" w:lineRule="auto"/>
        <w:jc w:val="left"/>
      </w:pPr>
    </w:p>
    <w:p w14:paraId="00E69823" w14:textId="1370F213" w:rsidR="00FF5676" w:rsidRDefault="00FF5676" w:rsidP="00FF5676">
      <w:pPr>
        <w:pStyle w:val="Heading2"/>
      </w:pPr>
      <w:bookmarkStart w:id="13" w:name="_Toc92952670"/>
      <w:r>
        <w:t xml:space="preserve">Page </w:t>
      </w:r>
      <w:r w:rsidR="008E3BB0">
        <w:t>54</w:t>
      </w:r>
      <w:bookmarkEnd w:id="13"/>
    </w:p>
    <w:p w14:paraId="2CC6CCF4" w14:textId="116712C1" w:rsidR="00194D2E" w:rsidRDefault="00194D2E" w:rsidP="00194D2E">
      <w:r>
        <w:t xml:space="preserve">The formula </w:t>
      </w:r>
      <w:r w:rsidR="00DC3D27">
        <w:t xml:space="preserve">for the loan amount </w:t>
      </w:r>
      <w:r>
        <w:t xml:space="preserve">at the top of Page </w:t>
      </w:r>
      <w:r w:rsidR="00DC3D27">
        <w:t>54</w:t>
      </w:r>
      <w:r>
        <w:t xml:space="preserve"> of Section 23.</w:t>
      </w:r>
      <w:r w:rsidR="00763159">
        <w:t>7.1</w:t>
      </w:r>
      <w:r>
        <w:t xml:space="preserve"> </w:t>
      </w:r>
      <w:r w:rsidR="00DC3D27">
        <w:t>is determined as follows</w:t>
      </w:r>
      <w:r>
        <w:t>:</w:t>
      </w:r>
    </w:p>
    <w:p w14:paraId="06635BD6" w14:textId="77777777" w:rsidR="00194D2E" w:rsidRPr="00194D2E" w:rsidRDefault="00194D2E" w:rsidP="00194D2E"/>
    <w:p w14:paraId="3498302B" w14:textId="4A8EE9CB" w:rsidR="00194D2E" w:rsidRDefault="00216CA4" w:rsidP="00194D2E">
      <w:pPr>
        <w:ind w:firstLine="720"/>
      </w:pPr>
      <w:r w:rsidRPr="005E2645">
        <w:rPr>
          <w:position w:val="-16"/>
        </w:rPr>
        <w:object w:dxaOrig="5060" w:dyaOrig="400" w14:anchorId="6A8523BD">
          <v:shape id="_x0000_i1040" type="#_x0000_t75" style="width:254.45pt;height:19.9pt" o:ole="">
            <v:imagedata r:id="rId34" o:title=""/>
          </v:shape>
          <o:OLEObject Type="Embed" ProgID="Equation.DSMT4" ShapeID="_x0000_i1040" DrawAspect="Content" ObjectID="_1703566214" r:id="rId35"/>
        </w:object>
      </w:r>
      <w:r w:rsidR="00194D2E">
        <w:t>,</w:t>
      </w:r>
    </w:p>
    <w:p w14:paraId="4D7CA3B5" w14:textId="77777777" w:rsidR="00194D2E" w:rsidRDefault="00194D2E" w:rsidP="00194D2E">
      <w:proofErr w:type="gramStart"/>
      <w:r>
        <w:t>where</w:t>
      </w:r>
      <w:proofErr w:type="gramEnd"/>
    </w:p>
    <w:p w14:paraId="41A13889" w14:textId="0828ECA3" w:rsidR="00194D2E" w:rsidRDefault="00194D2E" w:rsidP="00194D2E">
      <w:pPr>
        <w:tabs>
          <w:tab w:val="left" w:pos="360"/>
          <w:tab w:val="left" w:pos="1440"/>
          <w:tab w:val="left" w:pos="1800"/>
        </w:tabs>
        <w:spacing w:after="0"/>
        <w:ind w:left="1800" w:hanging="1800"/>
      </w:pPr>
      <w:r>
        <w:tab/>
      </w:r>
      <w:r w:rsidR="00DC3D27" w:rsidRPr="00DC3D27">
        <w:rPr>
          <w:position w:val="-16"/>
        </w:rPr>
        <w:object w:dxaOrig="980" w:dyaOrig="400" w14:anchorId="10B8FAF4">
          <v:shape id="_x0000_i1041" type="#_x0000_t75" style="width:48.6pt;height:18.55pt" o:ole="">
            <v:imagedata r:id="rId36" o:title=""/>
          </v:shape>
          <o:OLEObject Type="Embed" ProgID="Equation.DSMT4" ShapeID="_x0000_i1041" DrawAspect="Content" ObjectID="_1703566215" r:id="rId37"/>
        </w:object>
      </w:r>
      <w:r>
        <w:tab/>
        <w:t>=</w:t>
      </w:r>
      <w:r>
        <w:tab/>
      </w:r>
      <w:r w:rsidR="00B040C7">
        <w:t xml:space="preserve">policy </w:t>
      </w:r>
      <w:r w:rsidR="00DC3D27">
        <w:t xml:space="preserve">loan value at time </w:t>
      </w:r>
      <w:r w:rsidR="00DC3D27" w:rsidRPr="00DC3D27">
        <w:rPr>
          <w:position w:val="-6"/>
        </w:rPr>
        <w:object w:dxaOrig="760" w:dyaOrig="260" w14:anchorId="636432A6">
          <v:shape id="_x0000_i1042" type="#_x0000_t75" style="width:38pt;height:12.8pt" o:ole="">
            <v:imagedata r:id="rId38" o:title=""/>
          </v:shape>
          <o:OLEObject Type="Embed" ProgID="Equation.DSMT4" ShapeID="_x0000_i1042" DrawAspect="Content" ObjectID="_1703566216" r:id="rId39"/>
        </w:object>
      </w:r>
      <w:r w:rsidR="00DC3D27">
        <w:t xml:space="preserve"> </w:t>
      </w:r>
      <w:r>
        <w:t>;</w:t>
      </w:r>
      <w:r>
        <w:tab/>
      </w:r>
    </w:p>
    <w:p w14:paraId="6102BB2E" w14:textId="13B224E5" w:rsidR="00194D2E" w:rsidRDefault="00194D2E" w:rsidP="00194D2E">
      <w:pPr>
        <w:tabs>
          <w:tab w:val="left" w:pos="360"/>
          <w:tab w:val="left" w:pos="1440"/>
          <w:tab w:val="left" w:pos="1800"/>
        </w:tabs>
        <w:spacing w:after="0"/>
        <w:ind w:left="1800" w:hanging="1800"/>
      </w:pPr>
      <w:r>
        <w:tab/>
      </w:r>
      <w:r w:rsidR="00DC3D27" w:rsidRPr="00DC3D27">
        <w:rPr>
          <w:position w:val="-16"/>
        </w:rPr>
        <w:object w:dxaOrig="820" w:dyaOrig="400" w14:anchorId="23802EB2">
          <v:shape id="_x0000_i1043" type="#_x0000_t75" style="width:41.95pt;height:19.9pt" o:ole="">
            <v:imagedata r:id="rId40" o:title=""/>
          </v:shape>
          <o:OLEObject Type="Embed" ProgID="Equation.DSMT4" ShapeID="_x0000_i1043" DrawAspect="Content" ObjectID="_1703566217" r:id="rId41"/>
        </w:object>
      </w:r>
      <w:r>
        <w:t xml:space="preserve"> </w:t>
      </w:r>
      <w:r>
        <w:tab/>
        <w:t>=</w:t>
      </w:r>
      <w:r>
        <w:tab/>
      </w:r>
      <w:r w:rsidR="00B040C7">
        <w:t xml:space="preserve">policy </w:t>
      </w:r>
      <w:r w:rsidR="00DC3D27">
        <w:t xml:space="preserve">loan value at time </w:t>
      </w:r>
      <w:r w:rsidR="00DC3D27" w:rsidRPr="00DC3D27">
        <w:rPr>
          <w:position w:val="-6"/>
        </w:rPr>
        <w:object w:dxaOrig="480" w:dyaOrig="260" w14:anchorId="4B9C6AC9">
          <v:shape id="_x0000_i1044" type="#_x0000_t75" style="width:23.85pt;height:12.8pt" o:ole="">
            <v:imagedata r:id="rId42" o:title=""/>
          </v:shape>
          <o:OLEObject Type="Embed" ProgID="Equation.DSMT4" ShapeID="_x0000_i1044" DrawAspect="Content" ObjectID="_1703566218" r:id="rId43"/>
        </w:object>
      </w:r>
      <w:r>
        <w:t>;</w:t>
      </w:r>
      <w:r>
        <w:tab/>
      </w:r>
    </w:p>
    <w:p w14:paraId="40D3C4A1" w14:textId="1388403C" w:rsidR="00194D2E" w:rsidRDefault="00194D2E" w:rsidP="00194D2E">
      <w:pPr>
        <w:tabs>
          <w:tab w:val="left" w:pos="360"/>
          <w:tab w:val="left" w:pos="1440"/>
          <w:tab w:val="left" w:pos="1800"/>
        </w:tabs>
        <w:spacing w:after="0"/>
        <w:ind w:left="1800" w:hanging="1800"/>
      </w:pPr>
      <w:r>
        <w:tab/>
      </w:r>
      <w:r w:rsidR="00216CA4" w:rsidRPr="00DC3D27">
        <w:rPr>
          <w:position w:val="-16"/>
        </w:rPr>
        <w:object w:dxaOrig="880" w:dyaOrig="400" w14:anchorId="078C2428">
          <v:shape id="_x0000_i1045" type="#_x0000_t75" style="width:43.75pt;height:18.55pt" o:ole="">
            <v:imagedata r:id="rId44" o:title=""/>
          </v:shape>
          <o:OLEObject Type="Embed" ProgID="Equation.DSMT4" ShapeID="_x0000_i1045" DrawAspect="Content" ObjectID="_1703566219" r:id="rId45"/>
        </w:object>
      </w:r>
      <w:r>
        <w:tab/>
        <w:t>=</w:t>
      </w:r>
      <w:r>
        <w:tab/>
      </w:r>
      <w:r w:rsidR="00DC3D27">
        <w:t xml:space="preserve">loan </w:t>
      </w:r>
      <w:r w:rsidR="00216CA4">
        <w:t>amount</w:t>
      </w:r>
      <w:r w:rsidR="00DC3D27">
        <w:t xml:space="preserve"> (i.e., </w:t>
      </w:r>
      <w:r w:rsidR="00216CA4">
        <w:t xml:space="preserve">amount borrowed by the </w:t>
      </w:r>
      <w:r w:rsidR="00DC3D27">
        <w:t xml:space="preserve">policyholder) at time </w:t>
      </w:r>
      <w:r w:rsidR="00DC3D27" w:rsidRPr="00DC3D27">
        <w:rPr>
          <w:position w:val="-6"/>
        </w:rPr>
        <w:object w:dxaOrig="480" w:dyaOrig="260" w14:anchorId="67103564">
          <v:shape id="_x0000_i1046" type="#_x0000_t75" style="width:23.85pt;height:12.8pt" o:ole="">
            <v:imagedata r:id="rId46" o:title=""/>
          </v:shape>
          <o:OLEObject Type="Embed" ProgID="Equation.DSMT4" ShapeID="_x0000_i1046" DrawAspect="Content" ObjectID="_1703566220" r:id="rId47"/>
        </w:object>
      </w:r>
      <w:r>
        <w:t xml:space="preserve">; </w:t>
      </w:r>
    </w:p>
    <w:p w14:paraId="172B2411" w14:textId="777D53DF" w:rsidR="00194D2E" w:rsidRDefault="00194D2E" w:rsidP="00194D2E">
      <w:pPr>
        <w:tabs>
          <w:tab w:val="left" w:pos="360"/>
          <w:tab w:val="left" w:pos="1440"/>
          <w:tab w:val="left" w:pos="1800"/>
        </w:tabs>
        <w:spacing w:after="0"/>
        <w:ind w:left="1800" w:hanging="1800"/>
      </w:pPr>
      <w:r>
        <w:tab/>
      </w:r>
      <w:r w:rsidR="00216CA4" w:rsidRPr="00DC3D27">
        <w:rPr>
          <w:position w:val="-16"/>
        </w:rPr>
        <w:object w:dxaOrig="900" w:dyaOrig="400" w14:anchorId="2653BC91">
          <v:shape id="_x0000_i1047" type="#_x0000_t75" style="width:45.05pt;height:18.55pt" o:ole="">
            <v:imagedata r:id="rId48" o:title=""/>
          </v:shape>
          <o:OLEObject Type="Embed" ProgID="Equation.DSMT4" ShapeID="_x0000_i1047" DrawAspect="Content" ObjectID="_1703566221" r:id="rId49"/>
        </w:object>
      </w:r>
      <w:r>
        <w:tab/>
        <w:t>=</w:t>
      </w:r>
      <w:r>
        <w:tab/>
      </w:r>
      <w:r w:rsidR="00DC3D27">
        <w:t xml:space="preserve">loan </w:t>
      </w:r>
      <w:r w:rsidR="004711C5">
        <w:t>re</w:t>
      </w:r>
      <w:r w:rsidR="00DC3D27">
        <w:t xml:space="preserve">payment (i.e., </w:t>
      </w:r>
      <w:r w:rsidR="004711C5">
        <w:t>portion</w:t>
      </w:r>
      <w:r w:rsidR="00DC3D27">
        <w:t xml:space="preserve"> of loan repaid by policyholder) at time </w:t>
      </w:r>
      <w:r w:rsidR="00DC3D27" w:rsidRPr="00DC3D27">
        <w:rPr>
          <w:position w:val="-6"/>
        </w:rPr>
        <w:object w:dxaOrig="480" w:dyaOrig="260" w14:anchorId="23EDE12C">
          <v:shape id="_x0000_i1048" type="#_x0000_t75" style="width:23.85pt;height:12.8pt" o:ole="">
            <v:imagedata r:id="rId46" o:title=""/>
          </v:shape>
          <o:OLEObject Type="Embed" ProgID="Equation.DSMT4" ShapeID="_x0000_i1048" DrawAspect="Content" ObjectID="_1703566222" r:id="rId50"/>
        </w:object>
      </w:r>
      <w:r>
        <w:t>;</w:t>
      </w:r>
      <w:r w:rsidR="00DC3D27">
        <w:t xml:space="preserve"> and</w:t>
      </w:r>
    </w:p>
    <w:p w14:paraId="764F72F2" w14:textId="5E6B24A9" w:rsidR="00763159" w:rsidRDefault="00194D2E" w:rsidP="00194D2E">
      <w:pPr>
        <w:tabs>
          <w:tab w:val="left" w:pos="360"/>
          <w:tab w:val="left" w:pos="1440"/>
          <w:tab w:val="left" w:pos="1800"/>
        </w:tabs>
        <w:spacing w:after="0"/>
        <w:ind w:left="1800" w:hanging="1800"/>
      </w:pPr>
      <w:r>
        <w:tab/>
      </w:r>
      <w:r w:rsidR="00DC3D27" w:rsidRPr="00DC3D27">
        <w:rPr>
          <w:position w:val="-16"/>
        </w:rPr>
        <w:object w:dxaOrig="840" w:dyaOrig="400" w14:anchorId="7575DCB1">
          <v:shape id="_x0000_i1049" type="#_x0000_t75" style="width:42.85pt;height:18.55pt" o:ole="">
            <v:imagedata r:id="rId51" o:title=""/>
          </v:shape>
          <o:OLEObject Type="Embed" ProgID="Equation.DSMT4" ShapeID="_x0000_i1049" DrawAspect="Content" ObjectID="_1703566223" r:id="rId52"/>
        </w:object>
      </w:r>
      <w:r>
        <w:tab/>
        <w:t>=</w:t>
      </w:r>
      <w:r>
        <w:tab/>
      </w:r>
      <w:r w:rsidR="00DC3D27">
        <w:t xml:space="preserve">interest on policy loan </w:t>
      </w:r>
      <w:r w:rsidR="00B040C7">
        <w:t xml:space="preserve">value </w:t>
      </w:r>
      <w:r w:rsidR="00DC3D27">
        <w:t xml:space="preserve">at time at time </w:t>
      </w:r>
      <w:r w:rsidR="00DC3D27" w:rsidRPr="00DC3D27">
        <w:rPr>
          <w:position w:val="-6"/>
        </w:rPr>
        <w:object w:dxaOrig="760" w:dyaOrig="260" w14:anchorId="28872B64">
          <v:shape id="_x0000_i1050" type="#_x0000_t75" style="width:38pt;height:12.8pt" o:ole="">
            <v:imagedata r:id="rId38" o:title=""/>
          </v:shape>
          <o:OLEObject Type="Embed" ProgID="Equation.DSMT4" ShapeID="_x0000_i1050" DrawAspect="Content" ObjectID="_1703566224" r:id="rId53"/>
        </w:object>
      </w:r>
      <w:r w:rsidR="00DC3D27">
        <w:t>.</w:t>
      </w:r>
    </w:p>
    <w:p w14:paraId="4F6A59BC" w14:textId="3E01622E" w:rsidR="00216CA4" w:rsidRDefault="00216CA4" w:rsidP="00194D2E">
      <w:pPr>
        <w:tabs>
          <w:tab w:val="left" w:pos="360"/>
          <w:tab w:val="left" w:pos="1440"/>
          <w:tab w:val="left" w:pos="1800"/>
        </w:tabs>
        <w:spacing w:after="0"/>
        <w:ind w:left="1800" w:hanging="1800"/>
      </w:pPr>
    </w:p>
    <w:p w14:paraId="7F2E49F1" w14:textId="286A83B6" w:rsidR="00216CA4" w:rsidRDefault="00216CA4" w:rsidP="00216CA4">
      <w:pPr>
        <w:spacing w:after="0"/>
      </w:pPr>
      <w:r>
        <w:t xml:space="preserve">For example, if the policyholder borrowed $1,000 in the second year to pay the premium, the loan amount </w:t>
      </w:r>
      <w:r w:rsidRPr="00D744B6">
        <w:rPr>
          <w:position w:val="-16"/>
        </w:rPr>
        <w:object w:dxaOrig="1400" w:dyaOrig="400" w14:anchorId="7CB235E4">
          <v:shape id="_x0000_i1051" type="#_x0000_t75" style="width:69.8pt;height:19.9pt" o:ole="">
            <v:imagedata r:id="rId54" o:title=""/>
          </v:shape>
          <o:OLEObject Type="Embed" ProgID="Equation.DSMT4" ShapeID="_x0000_i1051" DrawAspect="Content" ObjectID="_1703566225" r:id="rId55"/>
        </w:object>
      </w:r>
      <w:r>
        <w:t xml:space="preserve">. </w:t>
      </w:r>
      <w:r w:rsidR="00F61FE8">
        <w:t>If</w:t>
      </w:r>
      <w:r>
        <w:t xml:space="preserve"> the loan value in the 10</w:t>
      </w:r>
      <w:r w:rsidRPr="00216CA4">
        <w:rPr>
          <w:vertAlign w:val="superscript"/>
        </w:rPr>
        <w:t>th</w:t>
      </w:r>
      <w:r>
        <w:t xml:space="preserve"> year was $10,000 and the insured died, then loan repayment would be </w:t>
      </w:r>
      <w:r w:rsidRPr="00D744B6">
        <w:rPr>
          <w:position w:val="-16"/>
        </w:rPr>
        <w:object w:dxaOrig="1540" w:dyaOrig="400" w14:anchorId="3BC99A31">
          <v:shape id="_x0000_i1052" type="#_x0000_t75" style="width:76.85pt;height:19.9pt" o:ole="">
            <v:imagedata r:id="rId56" o:title=""/>
          </v:shape>
          <o:OLEObject Type="Embed" ProgID="Equation.DSMT4" ShapeID="_x0000_i1052" DrawAspect="Content" ObjectID="_1703566226" r:id="rId57"/>
        </w:object>
      </w:r>
      <w:r>
        <w:t>. If the death benefit was $100,000, then in the 10</w:t>
      </w:r>
      <w:r w:rsidRPr="00216CA4">
        <w:rPr>
          <w:vertAlign w:val="superscript"/>
        </w:rPr>
        <w:t>th</w:t>
      </w:r>
      <w:r>
        <w:t xml:space="preserve"> year the Summary of Operations would show death benefits</w:t>
      </w:r>
      <w:r w:rsidR="00F61FE8">
        <w:t xml:space="preserve"> paid</w:t>
      </w:r>
      <w:r>
        <w:t xml:space="preserve"> of $100,000 and not $90,000. This is an important, but subtle point</w:t>
      </w:r>
      <w:r w:rsidR="00F61FE8">
        <w:t>,</w:t>
      </w:r>
      <w:r>
        <w:t xml:space="preserve"> and is why the present values of benefits in the determination of the </w:t>
      </w:r>
      <w:r w:rsidR="00F61FE8">
        <w:t>deterministic reserve uses the gross death benefit.</w:t>
      </w:r>
    </w:p>
    <w:p w14:paraId="094D7A34" w14:textId="45D0D984" w:rsidR="008B5020" w:rsidRDefault="008B5020" w:rsidP="00F61FE8"/>
    <w:p w14:paraId="4B21AE77" w14:textId="77777777" w:rsidR="00194D2E" w:rsidRDefault="00194D2E" w:rsidP="00194D2E">
      <w:pPr>
        <w:pStyle w:val="Heading2"/>
      </w:pPr>
      <w:bookmarkStart w:id="14" w:name="_Toc92952671"/>
      <w:r>
        <w:t>Page 57</w:t>
      </w:r>
      <w:bookmarkEnd w:id="14"/>
    </w:p>
    <w:p w14:paraId="662EF94C" w14:textId="77777777" w:rsidR="00194D2E" w:rsidRDefault="00194D2E" w:rsidP="00194D2E">
      <w:r>
        <w:t>The first sentence in quote on the top Page 57 of Section 23.7.2:</w:t>
      </w:r>
    </w:p>
    <w:p w14:paraId="331ED24B" w14:textId="77777777" w:rsidR="00194D2E" w:rsidRDefault="00194D2E" w:rsidP="00194D2E">
      <w:pPr>
        <w:ind w:left="360" w:right="648"/>
      </w:pPr>
      <w:r>
        <w:t>“Calculate the deterministic reserve as ab where…</w:t>
      </w:r>
    </w:p>
    <w:p w14:paraId="4076607C" w14:textId="77777777" w:rsidR="00194D2E" w:rsidRDefault="00194D2E" w:rsidP="00194D2E">
      <w:pPr>
        <w:spacing w:line="276" w:lineRule="auto"/>
        <w:jc w:val="left"/>
      </w:pPr>
      <w:r>
        <w:lastRenderedPageBreak/>
        <w:t>should be changed to:</w:t>
      </w:r>
    </w:p>
    <w:p w14:paraId="18605BB4" w14:textId="6E97FE8E" w:rsidR="00194D2E" w:rsidRDefault="00194D2E" w:rsidP="00194D2E">
      <w:pPr>
        <w:ind w:left="360" w:right="648"/>
      </w:pPr>
      <w:r>
        <w:t>“Calculate the deterministic reserve as a-b where</w:t>
      </w:r>
      <w:r w:rsidR="004711C5">
        <w:t>…</w:t>
      </w:r>
    </w:p>
    <w:p w14:paraId="78357E35" w14:textId="0FF632A8" w:rsidR="008B5020" w:rsidRDefault="008B5020">
      <w:pPr>
        <w:spacing w:line="276" w:lineRule="auto"/>
        <w:jc w:val="left"/>
      </w:pPr>
      <w:r>
        <w:br w:type="page"/>
      </w:r>
    </w:p>
    <w:p w14:paraId="730203E9" w14:textId="77777777" w:rsidR="008B5020" w:rsidRDefault="008B5020" w:rsidP="008B5020"/>
    <w:p w14:paraId="307E8358" w14:textId="260C0FC1" w:rsidR="0022623C" w:rsidRDefault="0022623C" w:rsidP="0022623C">
      <w:pPr>
        <w:pStyle w:val="Heading2"/>
      </w:pPr>
      <w:bookmarkStart w:id="15" w:name="_Toc92952672"/>
      <w:r>
        <w:t>Page 5</w:t>
      </w:r>
      <w:r w:rsidR="0085771E">
        <w:t>9</w:t>
      </w:r>
      <w:bookmarkEnd w:id="15"/>
    </w:p>
    <w:p w14:paraId="008187A3" w14:textId="1F8F0F36" w:rsidR="0022623C" w:rsidRDefault="0085771E" w:rsidP="0022623C">
      <w:r>
        <w:t>Item (6)</w:t>
      </w:r>
      <w:r w:rsidR="0022623C">
        <w:t xml:space="preserve"> in the first paragraph on Page </w:t>
      </w:r>
      <w:r>
        <w:t>59</w:t>
      </w:r>
      <w:r w:rsidR="0022623C">
        <w:t xml:space="preserve"> of Section 23.</w:t>
      </w:r>
      <w:r>
        <w:t>8</w:t>
      </w:r>
      <w:r w:rsidR="0022623C">
        <w:t>:</w:t>
      </w:r>
    </w:p>
    <w:p w14:paraId="740FB3E7" w14:textId="1B5FAA37" w:rsidR="0085771E" w:rsidRDefault="0085771E" w:rsidP="0085771E">
      <w:pPr>
        <w:pStyle w:val="ListParagraph"/>
        <w:numPr>
          <w:ilvl w:val="0"/>
          <w:numId w:val="36"/>
        </w:numPr>
        <w:tabs>
          <w:tab w:val="left" w:pos="720"/>
        </w:tabs>
        <w:spacing w:after="120" w:line="276" w:lineRule="auto"/>
        <w:jc w:val="left"/>
        <w:rPr>
          <w:szCs w:val="22"/>
        </w:rPr>
      </w:pPr>
      <w:r>
        <w:rPr>
          <w:szCs w:val="22"/>
        </w:rPr>
        <w:t>The stochastic reserve is the sum of CTE 70, the additional amount from Step 5, and PIMR balance</w:t>
      </w:r>
    </w:p>
    <w:p w14:paraId="385AA724" w14:textId="77777777" w:rsidR="0022623C" w:rsidRDefault="0022623C" w:rsidP="0022623C">
      <w:r>
        <w:t>should be changed to:</w:t>
      </w:r>
    </w:p>
    <w:p w14:paraId="3E186924" w14:textId="368E5586" w:rsidR="00401A18" w:rsidRPr="0085771E" w:rsidRDefault="0085771E" w:rsidP="0085771E">
      <w:pPr>
        <w:pStyle w:val="ListParagraph"/>
        <w:numPr>
          <w:ilvl w:val="0"/>
          <w:numId w:val="37"/>
        </w:numPr>
        <w:tabs>
          <w:tab w:val="left" w:pos="720"/>
        </w:tabs>
        <w:spacing w:after="120" w:line="276" w:lineRule="auto"/>
        <w:jc w:val="left"/>
        <w:rPr>
          <w:szCs w:val="22"/>
        </w:rPr>
      </w:pPr>
      <w:r>
        <w:rPr>
          <w:szCs w:val="22"/>
        </w:rPr>
        <w:t>The stochastic reserve is the sum of CTE 70, the additional amount from Step 5, less the PIMR balance</w:t>
      </w:r>
    </w:p>
    <w:p w14:paraId="1484B57D" w14:textId="4E473B2C" w:rsidR="0085771E" w:rsidRPr="0085771E" w:rsidRDefault="0085771E" w:rsidP="0085771E">
      <w:pPr>
        <w:spacing w:line="276" w:lineRule="auto"/>
      </w:pPr>
      <w:r w:rsidRPr="0085771E">
        <w:t xml:space="preserve">Specifically, with respect to the PIMR, the PIMR should be subtracted from the ultimate reserve number (deterministic and stochastic), because the Interest Maintenance reserve is a reserve item, meant to be paid out as a substitute for investment earnings and </w:t>
      </w:r>
      <w:proofErr w:type="gramStart"/>
      <w:r w:rsidRPr="0085771E">
        <w:t>high income</w:t>
      </w:r>
      <w:proofErr w:type="gramEnd"/>
      <w:r w:rsidRPr="0085771E">
        <w:t xml:space="preserve"> assets that were sold that were originally purchased to support that product (or low income assets that were sold at losses, to reflect their negative earnings.)  Therefore, the sign in the Chapter 23 VUL spreadsheet should be subtracting the PIMR. </w:t>
      </w:r>
    </w:p>
    <w:p w14:paraId="44B4BB9D" w14:textId="77777777" w:rsidR="0085771E" w:rsidRPr="0085771E" w:rsidRDefault="0085771E" w:rsidP="0085771E">
      <w:pPr>
        <w:spacing w:line="276" w:lineRule="auto"/>
      </w:pPr>
      <w:r w:rsidRPr="0085771E">
        <w:t xml:space="preserve">Separately, with regard to the opening statement that the PIMR “is always included with other liabilities </w:t>
      </w:r>
      <w:proofErr w:type="gramStart"/>
      <w:r w:rsidRPr="0085771E">
        <w:t>where</w:t>
      </w:r>
      <w:proofErr w:type="gramEnd"/>
      <w:r w:rsidRPr="0085771E">
        <w:t xml:space="preserve"> determining the starting assets”, the Valuation Manual makes it clear that there are three asset choices and the PIMR is only in one (See Guidance Note in the 2020 Valuation Manual, page 20-30).  The 2020 Valuation Manual can be found at: </w:t>
      </w:r>
      <w:hyperlink r:id="rId58" w:history="1">
        <w:r w:rsidRPr="0085771E">
          <w:rPr>
            <w:rStyle w:val="Hyperlink"/>
            <w:rFonts w:ascii="Garamond Premr Pro" w:hAnsi="Garamond Premr Pro"/>
            <w:sz w:val="22"/>
          </w:rPr>
          <w:t>https://www.naic.org/documents/pbr_data_val_2020_edition.pdf?96</w:t>
        </w:r>
      </w:hyperlink>
    </w:p>
    <w:p w14:paraId="498659A7" w14:textId="77777777" w:rsidR="00401A18" w:rsidRDefault="00401A18" w:rsidP="00401A18">
      <w:pPr>
        <w:spacing w:line="276" w:lineRule="auto"/>
        <w:jc w:val="left"/>
      </w:pPr>
    </w:p>
    <w:p w14:paraId="4D9CC0F3" w14:textId="77777777" w:rsidR="00E672DC" w:rsidRDefault="00E672DC" w:rsidP="002B23FE">
      <w:pPr>
        <w:spacing w:line="276" w:lineRule="auto"/>
        <w:jc w:val="left"/>
      </w:pPr>
    </w:p>
    <w:p w14:paraId="3876E6D3" w14:textId="32BE16D3" w:rsidR="00624E9E" w:rsidRDefault="00624E9E">
      <w:pPr>
        <w:spacing w:line="276" w:lineRule="auto"/>
        <w:jc w:val="left"/>
      </w:pPr>
      <w:r>
        <w:br w:type="page"/>
      </w:r>
    </w:p>
    <w:p w14:paraId="2813B9CC" w14:textId="1688A3B5" w:rsidR="00624E9E" w:rsidRDefault="00624E9E" w:rsidP="00624E9E">
      <w:pPr>
        <w:pStyle w:val="Heading1"/>
      </w:pPr>
      <w:bookmarkStart w:id="16" w:name="_Toc92952673"/>
      <w:r w:rsidRPr="00633AA4">
        <w:lastRenderedPageBreak/>
        <w:t>Chapter</w:t>
      </w:r>
      <w:r>
        <w:t xml:space="preserve"> 29</w:t>
      </w:r>
      <w:bookmarkEnd w:id="16"/>
    </w:p>
    <w:p w14:paraId="12FD2249" w14:textId="14190198" w:rsidR="00535B4F" w:rsidRDefault="00535B4F" w:rsidP="00535B4F"/>
    <w:p w14:paraId="3646C474" w14:textId="608A12FF" w:rsidR="0088313F" w:rsidRDefault="00535B4F" w:rsidP="00535B4F">
      <w:r>
        <w:t xml:space="preserve">The Excel Workbook </w:t>
      </w:r>
      <w:r w:rsidRPr="00535B4F">
        <w:rPr>
          <w:i/>
          <w:iCs/>
        </w:rPr>
        <w:t>Chapter 29 - Risk Based Capital - Illustration v</w:t>
      </w:r>
      <w:r>
        <w:rPr>
          <w:i/>
          <w:iCs/>
        </w:rPr>
        <w:t xml:space="preserve">1 </w:t>
      </w:r>
      <w:r w:rsidRPr="00535B4F">
        <w:t xml:space="preserve">had a </w:t>
      </w:r>
      <w:r>
        <w:t xml:space="preserve">formula error that affected the example in Section 29.4. </w:t>
      </w:r>
      <w:r w:rsidR="0088313F">
        <w:t xml:space="preserve">The </w:t>
      </w:r>
      <w:r w:rsidR="0088313F" w:rsidRPr="0088313F">
        <w:rPr>
          <w:i/>
          <w:iCs/>
        </w:rPr>
        <w:t>Total RBC for Low Risk</w:t>
      </w:r>
      <w:r w:rsidR="0088313F">
        <w:t xml:space="preserve"> in the Low-Risk portion of </w:t>
      </w:r>
      <w:r w:rsidR="0088313F" w:rsidRPr="0088313F">
        <w:rPr>
          <w:i/>
          <w:iCs/>
        </w:rPr>
        <w:t>Interest Rate Risk (C-3)</w:t>
      </w:r>
      <w:r w:rsidR="0088313F">
        <w:t xml:space="preserve"> worksheet was not summing correctly. </w:t>
      </w:r>
      <w:r>
        <w:t xml:space="preserve">The Excel Workbook </w:t>
      </w:r>
      <w:r w:rsidRPr="00535B4F">
        <w:rPr>
          <w:i/>
          <w:iCs/>
        </w:rPr>
        <w:t>Chapter 29 - Risk Based Capital - Illustration v</w:t>
      </w:r>
      <w:r>
        <w:rPr>
          <w:i/>
          <w:iCs/>
        </w:rPr>
        <w:t xml:space="preserve">2 </w:t>
      </w:r>
      <w:r>
        <w:t xml:space="preserve">replaces this workbook. </w:t>
      </w:r>
    </w:p>
    <w:p w14:paraId="1E5EEB1A" w14:textId="3D338FAC" w:rsidR="00535B4F" w:rsidRPr="00535B4F" w:rsidRDefault="0088313F" w:rsidP="00535B4F">
      <w:r>
        <w:t xml:space="preserve">Below are the exhibits in the example in Section 29.4 that were affected by this error. </w:t>
      </w:r>
      <w:r w:rsidR="00535B4F">
        <w:t xml:space="preserve"> </w:t>
      </w:r>
    </w:p>
    <w:p w14:paraId="17CB8DEB" w14:textId="329D4782" w:rsidR="00624E9E" w:rsidRDefault="00624E9E" w:rsidP="00624E9E">
      <w:pPr>
        <w:pStyle w:val="Heading2"/>
      </w:pPr>
      <w:bookmarkStart w:id="17" w:name="_Toc92952674"/>
      <w:r>
        <w:t>Page 411</w:t>
      </w:r>
      <w:bookmarkEnd w:id="17"/>
    </w:p>
    <w:p w14:paraId="77103CCB" w14:textId="3C45FD10" w:rsidR="00624E9E" w:rsidRDefault="00624E9E" w:rsidP="00624E9E">
      <w:r>
        <w:t>The exhibit at the bottom of Page 411 of Section 29.4 should be replaced with the following exhibit:</w:t>
      </w:r>
    </w:p>
    <w:p w14:paraId="417E5F1D" w14:textId="3DA7DBB6" w:rsidR="00624E9E" w:rsidRDefault="008320C1">
      <w:pPr>
        <w:spacing w:line="276" w:lineRule="auto"/>
        <w:jc w:val="left"/>
      </w:pPr>
      <w:r w:rsidRPr="008320C1">
        <w:drawing>
          <wp:inline distT="0" distB="0" distL="0" distR="0" wp14:anchorId="3A7828F7" wp14:editId="7276C682">
            <wp:extent cx="5715000" cy="333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r w:rsidR="00624E9E">
        <w:br w:type="page"/>
      </w:r>
    </w:p>
    <w:p w14:paraId="0A31B0D0" w14:textId="78EDBB87" w:rsidR="00624E9E" w:rsidRDefault="00624E9E" w:rsidP="00624E9E">
      <w:pPr>
        <w:pStyle w:val="Heading2"/>
      </w:pPr>
      <w:bookmarkStart w:id="18" w:name="_Toc92952675"/>
      <w:r>
        <w:lastRenderedPageBreak/>
        <w:t>Page 41</w:t>
      </w:r>
      <w:r w:rsidR="00535B4F">
        <w:t>2</w:t>
      </w:r>
      <w:bookmarkEnd w:id="18"/>
    </w:p>
    <w:p w14:paraId="2F58C825" w14:textId="5025CF98" w:rsidR="00624E9E" w:rsidRDefault="00624E9E" w:rsidP="00624E9E">
      <w:r>
        <w:t>The exhibit at the bottom of Page 412 of Section 29.4 should be replaced with the following exhibit:</w:t>
      </w:r>
    </w:p>
    <w:p w14:paraId="5599C885" w14:textId="225C45F1" w:rsidR="00624E9E" w:rsidRDefault="00535B4F" w:rsidP="00535B4F">
      <w:pPr>
        <w:jc w:val="center"/>
      </w:pPr>
      <w:r w:rsidRPr="00535B4F">
        <w:rPr>
          <w:noProof/>
        </w:rPr>
        <w:drawing>
          <wp:inline distT="0" distB="0" distL="0" distR="0" wp14:anchorId="50377DA4" wp14:editId="0EA6717B">
            <wp:extent cx="4964430" cy="45212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964430" cy="4521200"/>
                    </a:xfrm>
                    <a:prstGeom prst="rect">
                      <a:avLst/>
                    </a:prstGeom>
                    <a:noFill/>
                    <a:ln>
                      <a:noFill/>
                    </a:ln>
                  </pic:spPr>
                </pic:pic>
              </a:graphicData>
            </a:graphic>
          </wp:inline>
        </w:drawing>
      </w:r>
    </w:p>
    <w:p w14:paraId="5996D336" w14:textId="3C3C6D0B" w:rsidR="00535B4F" w:rsidRDefault="00535B4F">
      <w:pPr>
        <w:spacing w:line="276" w:lineRule="auto"/>
        <w:jc w:val="left"/>
      </w:pPr>
      <w:r>
        <w:br w:type="page"/>
      </w:r>
    </w:p>
    <w:p w14:paraId="4FA32D85" w14:textId="731875C7" w:rsidR="00535B4F" w:rsidRDefault="00535B4F" w:rsidP="00535B4F">
      <w:pPr>
        <w:pStyle w:val="Heading2"/>
      </w:pPr>
      <w:bookmarkStart w:id="19" w:name="_Toc92952676"/>
      <w:r>
        <w:lastRenderedPageBreak/>
        <w:t>Page 413</w:t>
      </w:r>
      <w:bookmarkEnd w:id="19"/>
    </w:p>
    <w:p w14:paraId="4216225B" w14:textId="0C6B5838" w:rsidR="00535B4F" w:rsidRDefault="00535B4F" w:rsidP="00535B4F">
      <w:r>
        <w:t>The exhibit at the bottom of Page 413 of Section 29.4 should be replaced with the following exhibit:</w:t>
      </w:r>
    </w:p>
    <w:p w14:paraId="0D2418D0" w14:textId="24E96708" w:rsidR="00535B4F" w:rsidRDefault="00535B4F" w:rsidP="00535B4F">
      <w:r w:rsidRPr="00535B4F">
        <w:rPr>
          <w:noProof/>
        </w:rPr>
        <w:drawing>
          <wp:inline distT="0" distB="0" distL="0" distR="0" wp14:anchorId="23D7E100" wp14:editId="03D6DD0D">
            <wp:extent cx="5715000" cy="40881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0" cy="4088130"/>
                    </a:xfrm>
                    <a:prstGeom prst="rect">
                      <a:avLst/>
                    </a:prstGeom>
                    <a:noFill/>
                    <a:ln>
                      <a:noFill/>
                    </a:ln>
                  </pic:spPr>
                </pic:pic>
              </a:graphicData>
            </a:graphic>
          </wp:inline>
        </w:drawing>
      </w:r>
    </w:p>
    <w:p w14:paraId="0EA5BB59" w14:textId="77777777" w:rsidR="00535B4F" w:rsidRDefault="00535B4F" w:rsidP="00535B4F"/>
    <w:p w14:paraId="75300E58" w14:textId="77777777" w:rsidR="00E672DC" w:rsidRDefault="00E672DC">
      <w:pPr>
        <w:spacing w:line="276" w:lineRule="auto"/>
        <w:jc w:val="left"/>
      </w:pPr>
    </w:p>
    <w:sectPr w:rsidR="00E672DC" w:rsidSect="009D6FFB">
      <w:footerReference w:type="first" r:id="rId62"/>
      <w:pgSz w:w="12240" w:h="15840"/>
      <w:pgMar w:top="1800" w:right="1440" w:bottom="1440" w:left="1440" w:header="720" w:footer="720" w:gutter="36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EE34" w14:textId="77777777" w:rsidR="00577786" w:rsidRDefault="00577786" w:rsidP="00F15C07">
      <w:pPr>
        <w:spacing w:after="0"/>
      </w:pPr>
      <w:r>
        <w:separator/>
      </w:r>
    </w:p>
    <w:p w14:paraId="76CE06A5" w14:textId="77777777" w:rsidR="00577786" w:rsidRDefault="00577786"/>
  </w:endnote>
  <w:endnote w:type="continuationSeparator" w:id="0">
    <w:p w14:paraId="6E31BE26" w14:textId="77777777" w:rsidR="00577786" w:rsidRDefault="00577786" w:rsidP="00F15C07">
      <w:pPr>
        <w:spacing w:after="0"/>
      </w:pPr>
      <w:r>
        <w:continuationSeparator/>
      </w:r>
    </w:p>
    <w:p w14:paraId="0558A2A8" w14:textId="77777777" w:rsidR="00577786" w:rsidRDefault="00577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Premr Pro">
    <w:altName w:val="Cambria"/>
    <w:panose1 w:val="00000000000000000000"/>
    <w:charset w:val="00"/>
    <w:family w:val="roman"/>
    <w:notTrueType/>
    <w:pitch w:val="variable"/>
    <w:sig w:usb0="E00002B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231F" w14:textId="76823B41" w:rsidR="0056000D" w:rsidRDefault="0056000D">
    <w:pPr>
      <w:pStyle w:val="Footer"/>
      <w:jc w:val="center"/>
    </w:pPr>
  </w:p>
  <w:p w14:paraId="0B571F0E" w14:textId="77777777" w:rsidR="0056000D" w:rsidRDefault="00560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823364"/>
      <w:docPartObj>
        <w:docPartGallery w:val="Page Numbers (Bottom of Page)"/>
        <w:docPartUnique/>
      </w:docPartObj>
    </w:sdtPr>
    <w:sdtEndPr>
      <w:rPr>
        <w:noProof/>
      </w:rPr>
    </w:sdtEndPr>
    <w:sdtContent>
      <w:p w14:paraId="2E4D9B4A" w14:textId="2A0BF4C2" w:rsidR="0056000D" w:rsidRDefault="0056000D">
        <w:pPr>
          <w:pStyle w:val="Foot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724B25DE" w14:textId="77777777" w:rsidR="0056000D" w:rsidRDefault="00560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8563" w14:textId="77777777" w:rsidR="00577786" w:rsidRDefault="00577786" w:rsidP="00F15C07">
      <w:pPr>
        <w:spacing w:after="0"/>
      </w:pPr>
      <w:r>
        <w:separator/>
      </w:r>
    </w:p>
    <w:p w14:paraId="6C34EF1E" w14:textId="77777777" w:rsidR="00577786" w:rsidRDefault="00577786"/>
  </w:footnote>
  <w:footnote w:type="continuationSeparator" w:id="0">
    <w:p w14:paraId="63D2A691" w14:textId="77777777" w:rsidR="00577786" w:rsidRDefault="00577786" w:rsidP="00F15C07">
      <w:pPr>
        <w:spacing w:after="0"/>
      </w:pPr>
      <w:r>
        <w:continuationSeparator/>
      </w:r>
    </w:p>
    <w:p w14:paraId="234CFF84" w14:textId="77777777" w:rsidR="00577786" w:rsidRDefault="005777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8BF"/>
    <w:multiLevelType w:val="multilevel"/>
    <w:tmpl w:val="76B80D04"/>
    <w:lvl w:ilvl="0">
      <w:start w:val="1"/>
      <w:numFmt w:val="decimal"/>
      <w:lvlText w:val="Chapter %1"/>
      <w:lvlJc w:val="left"/>
      <w:pPr>
        <w:ind w:left="450" w:hanging="360"/>
      </w:pPr>
      <w:rPr>
        <w:rFonts w:hint="default"/>
        <w:sz w:val="72"/>
        <w:szCs w:val="72"/>
      </w:rPr>
    </w:lvl>
    <w:lvl w:ilvl="1">
      <w:start w:val="1"/>
      <w:numFmt w:val="decimal"/>
      <w:isLg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 w15:restartNumberingAfterBreak="0">
    <w:nsid w:val="08880C4A"/>
    <w:multiLevelType w:val="hybridMultilevel"/>
    <w:tmpl w:val="D150A9D0"/>
    <w:lvl w:ilvl="0" w:tplc="FA6C8E8E">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8E90525"/>
    <w:multiLevelType w:val="hybridMultilevel"/>
    <w:tmpl w:val="24145DF2"/>
    <w:lvl w:ilvl="0" w:tplc="04090001">
      <w:start w:val="1"/>
      <w:numFmt w:val="bullet"/>
      <w:lvlText w:val=""/>
      <w:lvlJc w:val="left"/>
      <w:pPr>
        <w:ind w:left="1350" w:hanging="360"/>
      </w:pPr>
      <w:rPr>
        <w:rFonts w:ascii="Symbol" w:hAnsi="Symbol" w:hint="default"/>
      </w:rPr>
    </w:lvl>
    <w:lvl w:ilvl="1" w:tplc="A5821988">
      <w:numFmt w:val="bullet"/>
      <w:lvlText w:val="•"/>
      <w:lvlJc w:val="left"/>
      <w:pPr>
        <w:ind w:left="2070" w:hanging="360"/>
      </w:pPr>
      <w:rPr>
        <w:rFonts w:ascii="Times New Roman" w:eastAsia="Times New Roman" w:hAnsi="Times New Roman" w:cs="Times New Roman"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F100C39"/>
    <w:multiLevelType w:val="hybridMultilevel"/>
    <w:tmpl w:val="0A00F244"/>
    <w:lvl w:ilvl="0" w:tplc="124EB21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D5FD9"/>
    <w:multiLevelType w:val="hybridMultilevel"/>
    <w:tmpl w:val="A6E8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B53ED"/>
    <w:multiLevelType w:val="hybridMultilevel"/>
    <w:tmpl w:val="DD0CC1D6"/>
    <w:lvl w:ilvl="0" w:tplc="F26A6CD8">
      <w:start w:val="6"/>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C509F"/>
    <w:multiLevelType w:val="hybridMultilevel"/>
    <w:tmpl w:val="731C740C"/>
    <w:lvl w:ilvl="0" w:tplc="94E4805C">
      <w:start w:val="1"/>
      <w:numFmt w:val="decimal"/>
      <w:lvlText w:val="Chapter %1"/>
      <w:lvlJc w:val="left"/>
      <w:pPr>
        <w:ind w:left="3330" w:hanging="360"/>
      </w:pPr>
      <w:rPr>
        <w:rFonts w:hint="default"/>
        <w:sz w:val="72"/>
        <w:szCs w:val="72"/>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7" w15:restartNumberingAfterBreak="0">
    <w:nsid w:val="1D590635"/>
    <w:multiLevelType w:val="multilevel"/>
    <w:tmpl w:val="E05603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312DE5"/>
    <w:multiLevelType w:val="hybridMultilevel"/>
    <w:tmpl w:val="E3A6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93ED5"/>
    <w:multiLevelType w:val="hybridMultilevel"/>
    <w:tmpl w:val="7B3C1A1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FE16AA2"/>
    <w:multiLevelType w:val="hybridMultilevel"/>
    <w:tmpl w:val="528049B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C5FCC"/>
    <w:multiLevelType w:val="hybridMultilevel"/>
    <w:tmpl w:val="A2B0A26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30C0D"/>
    <w:multiLevelType w:val="multilevel"/>
    <w:tmpl w:val="49B86EF2"/>
    <w:lvl w:ilvl="0">
      <w:start w:val="1"/>
      <w:numFmt w:val="upperLetter"/>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1A1027"/>
    <w:multiLevelType w:val="multilevel"/>
    <w:tmpl w:val="76B80D04"/>
    <w:lvl w:ilvl="0">
      <w:start w:val="1"/>
      <w:numFmt w:val="decimal"/>
      <w:lvlText w:val="Chapter %1"/>
      <w:lvlJc w:val="left"/>
      <w:pPr>
        <w:ind w:left="360" w:hanging="360"/>
      </w:pPr>
      <w:rPr>
        <w:rFonts w:hint="default"/>
        <w:sz w:val="72"/>
        <w:szCs w:val="72"/>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866A41"/>
    <w:multiLevelType w:val="hybridMultilevel"/>
    <w:tmpl w:val="35FA0184"/>
    <w:lvl w:ilvl="0" w:tplc="758CF2D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D1E1CAC"/>
    <w:multiLevelType w:val="hybridMultilevel"/>
    <w:tmpl w:val="6DF01CEC"/>
    <w:lvl w:ilvl="0" w:tplc="0E52B1B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C45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D32CEF"/>
    <w:multiLevelType w:val="multilevel"/>
    <w:tmpl w:val="3EEC517E"/>
    <w:lvl w:ilvl="0">
      <w:start w:val="1"/>
      <w:numFmt w:val="decimal"/>
      <w:pStyle w:val="Heading1"/>
      <w:suff w:val="space"/>
      <w:lvlText w:val="%1."/>
      <w:lvlJc w:val="center"/>
      <w:pPr>
        <w:ind w:left="0" w:firstLine="0"/>
      </w:pPr>
      <w:rPr>
        <w:rFonts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rPr>
    </w:lvl>
    <w:lvl w:ilvl="1">
      <w:start w:val="1"/>
      <w:numFmt w:val="decimal"/>
      <w:pStyle w:val="Heading2"/>
      <w:isLgl/>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7488" w:hanging="648"/>
      </w:pPr>
      <w:rPr>
        <w:rFonts w:hint="default"/>
      </w:rPr>
    </w:lvl>
    <w:lvl w:ilvl="4">
      <w:start w:val="1"/>
      <w:numFmt w:val="decimal"/>
      <w:lvlText w:val="%1.%2.%3.%4.%5."/>
      <w:lvlJc w:val="left"/>
      <w:pPr>
        <w:ind w:left="7992" w:hanging="792"/>
      </w:pPr>
      <w:rPr>
        <w:rFonts w:hint="default"/>
      </w:rPr>
    </w:lvl>
    <w:lvl w:ilvl="5">
      <w:start w:val="1"/>
      <w:numFmt w:val="decimal"/>
      <w:lvlText w:val="%1.%2.%3.%4.%5.%6."/>
      <w:lvlJc w:val="left"/>
      <w:pPr>
        <w:ind w:left="8496" w:hanging="936"/>
      </w:pPr>
      <w:rPr>
        <w:rFonts w:hint="default"/>
      </w:rPr>
    </w:lvl>
    <w:lvl w:ilvl="6">
      <w:start w:val="1"/>
      <w:numFmt w:val="decimal"/>
      <w:lvlText w:val="%1.%2.%3.%4.%5.%6.%7."/>
      <w:lvlJc w:val="left"/>
      <w:pPr>
        <w:ind w:left="9000" w:hanging="1080"/>
      </w:pPr>
      <w:rPr>
        <w:rFonts w:hint="default"/>
      </w:rPr>
    </w:lvl>
    <w:lvl w:ilvl="7">
      <w:start w:val="1"/>
      <w:numFmt w:val="decimal"/>
      <w:lvlText w:val="%1.%2.%3.%4.%5.%6.%7.%8."/>
      <w:lvlJc w:val="left"/>
      <w:pPr>
        <w:ind w:left="9504" w:hanging="1224"/>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5F7722EE"/>
    <w:multiLevelType w:val="multilevel"/>
    <w:tmpl w:val="BD0E6364"/>
    <w:lvl w:ilvl="0">
      <w:start w:val="1"/>
      <w:numFmt w:val="decimal"/>
      <w:lvlText w:val="Exhibit %1"/>
      <w:lvlJc w:val="left"/>
      <w:pPr>
        <w:ind w:left="360" w:hanging="360"/>
      </w:pPr>
      <w:rPr>
        <w:rFonts w:hint="default"/>
      </w:rPr>
    </w:lvl>
    <w:lvl w:ilvl="1">
      <w:start w:val="1"/>
      <w:numFmt w:val="decimal"/>
      <w:lvlText w:val="Exhibit %1 .%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C33323"/>
    <w:multiLevelType w:val="hybridMultilevel"/>
    <w:tmpl w:val="F340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7334C"/>
    <w:multiLevelType w:val="multilevel"/>
    <w:tmpl w:val="DDA4571C"/>
    <w:lvl w:ilvl="0">
      <w:start w:val="1"/>
      <w:numFmt w:val="decimal"/>
      <w:suff w:val="space"/>
      <w:lvlText w:val="%1."/>
      <w:lvlJc w:val="left"/>
      <w:pPr>
        <w:ind w:left="360" w:hanging="576"/>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8253FC"/>
    <w:multiLevelType w:val="hybridMultilevel"/>
    <w:tmpl w:val="3D9620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01353"/>
    <w:multiLevelType w:val="hybridMultilevel"/>
    <w:tmpl w:val="DD0CC1D6"/>
    <w:lvl w:ilvl="0" w:tplc="F26A6CD8">
      <w:start w:val="6"/>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64D82"/>
    <w:multiLevelType w:val="hybridMultilevel"/>
    <w:tmpl w:val="99887D1E"/>
    <w:lvl w:ilvl="0" w:tplc="A10CD9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93D84"/>
    <w:multiLevelType w:val="multilevel"/>
    <w:tmpl w:val="EE083DAA"/>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3"/>
  </w:num>
  <w:num w:numId="3">
    <w:abstractNumId w:val="17"/>
  </w:num>
  <w:num w:numId="4">
    <w:abstractNumId w:val="7"/>
  </w:num>
  <w:num w:numId="5">
    <w:abstractNumId w:val="17"/>
  </w:num>
  <w:num w:numId="6">
    <w:abstractNumId w:val="17"/>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isLgl/>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pStyle w:val="Heading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7"/>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isLgl/>
        <w:lvlText w:val="%1.%2."/>
        <w:lvlJc w:val="left"/>
        <w:pPr>
          <w:ind w:left="792" w:hanging="432"/>
        </w:pPr>
        <w:rPr>
          <w:rFonts w:hint="default"/>
        </w:rPr>
      </w:lvl>
    </w:lvlOverride>
    <w:lvlOverride w:ilvl="2">
      <w:lvl w:ilvl="2">
        <w:start w:val="1"/>
        <w:numFmt w:val="decimal"/>
        <w:pStyle w:val="Heading3"/>
        <w:lvlText w:val="%1.%3."/>
        <w:lvlJc w:val="left"/>
        <w:pPr>
          <w:ind w:left="1224" w:hanging="504"/>
        </w:pPr>
        <w:rPr>
          <w:rFonts w:hint="default"/>
        </w:rPr>
      </w:lvl>
    </w:lvlOverride>
    <w:lvlOverride w:ilvl="3">
      <w:lvl w:ilvl="3">
        <w:start w:val="1"/>
        <w:numFmt w:val="decimal"/>
        <w:pStyle w:val="Heading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7"/>
  </w:num>
  <w:num w:numId="9">
    <w:abstractNumId w:val="14"/>
  </w:num>
  <w:num w:numId="10">
    <w:abstractNumId w:val="6"/>
  </w:num>
  <w:num w:numId="11">
    <w:abstractNumId w:val="24"/>
  </w:num>
  <w:num w:numId="12">
    <w:abstractNumId w:val="13"/>
  </w:num>
  <w:num w:numId="13">
    <w:abstractNumId w:val="0"/>
  </w:num>
  <w:num w:numId="14">
    <w:abstractNumId w:val="17"/>
  </w:num>
  <w:num w:numId="15">
    <w:abstractNumId w:val="18"/>
  </w:num>
  <w:num w:numId="16">
    <w:abstractNumId w:val="12"/>
  </w:num>
  <w:num w:numId="17">
    <w:abstractNumId w:val="9"/>
  </w:num>
  <w:num w:numId="18">
    <w:abstractNumId w:val="1"/>
  </w:num>
  <w:num w:numId="19">
    <w:abstractNumId w:val="2"/>
  </w:num>
  <w:num w:numId="20">
    <w:abstractNumId w:val="8"/>
  </w:num>
  <w:num w:numId="21">
    <w:abstractNumId w:val="19"/>
  </w:num>
  <w:num w:numId="22">
    <w:abstractNumId w:val="21"/>
  </w:num>
  <w:num w:numId="23">
    <w:abstractNumId w:val="10"/>
  </w:num>
  <w:num w:numId="24">
    <w:abstractNumId w:val="11"/>
  </w:num>
  <w:num w:numId="25">
    <w:abstractNumId w:val="16"/>
  </w:num>
  <w:num w:numId="26">
    <w:abstractNumId w:val="20"/>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4"/>
  </w:num>
  <w:num w:numId="35">
    <w:abstractNumId w:val="15"/>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consecutiveHyphenLimit w:val="1"/>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FE"/>
    <w:rsid w:val="000062F5"/>
    <w:rsid w:val="0000666B"/>
    <w:rsid w:val="0001208D"/>
    <w:rsid w:val="0003107A"/>
    <w:rsid w:val="00053AEC"/>
    <w:rsid w:val="000551DC"/>
    <w:rsid w:val="00081741"/>
    <w:rsid w:val="00081A9B"/>
    <w:rsid w:val="000A245B"/>
    <w:rsid w:val="000B061D"/>
    <w:rsid w:val="000E0583"/>
    <w:rsid w:val="000E3C75"/>
    <w:rsid w:val="00106F79"/>
    <w:rsid w:val="00114E51"/>
    <w:rsid w:val="0011599C"/>
    <w:rsid w:val="00117B8D"/>
    <w:rsid w:val="00131625"/>
    <w:rsid w:val="00135097"/>
    <w:rsid w:val="00137C4C"/>
    <w:rsid w:val="001574D3"/>
    <w:rsid w:val="00175481"/>
    <w:rsid w:val="00183045"/>
    <w:rsid w:val="00193E17"/>
    <w:rsid w:val="00194D2E"/>
    <w:rsid w:val="001B5E06"/>
    <w:rsid w:val="001D2BC9"/>
    <w:rsid w:val="001D6383"/>
    <w:rsid w:val="001F2AD6"/>
    <w:rsid w:val="0021618D"/>
    <w:rsid w:val="00216CA4"/>
    <w:rsid w:val="0022623C"/>
    <w:rsid w:val="002606A0"/>
    <w:rsid w:val="00264028"/>
    <w:rsid w:val="002726B4"/>
    <w:rsid w:val="002858B9"/>
    <w:rsid w:val="002B21A2"/>
    <w:rsid w:val="002B23FE"/>
    <w:rsid w:val="002B2762"/>
    <w:rsid w:val="002C5CCA"/>
    <w:rsid w:val="002D6389"/>
    <w:rsid w:val="002D7E52"/>
    <w:rsid w:val="00300296"/>
    <w:rsid w:val="00307815"/>
    <w:rsid w:val="00324F59"/>
    <w:rsid w:val="00327120"/>
    <w:rsid w:val="0033700F"/>
    <w:rsid w:val="00382551"/>
    <w:rsid w:val="00384270"/>
    <w:rsid w:val="003B0340"/>
    <w:rsid w:val="003B56D3"/>
    <w:rsid w:val="003B5892"/>
    <w:rsid w:val="003C4E08"/>
    <w:rsid w:val="003E1276"/>
    <w:rsid w:val="00401A18"/>
    <w:rsid w:val="004047E7"/>
    <w:rsid w:val="00406A5D"/>
    <w:rsid w:val="00407D2E"/>
    <w:rsid w:val="0041465F"/>
    <w:rsid w:val="00455B1C"/>
    <w:rsid w:val="004575C6"/>
    <w:rsid w:val="004711C5"/>
    <w:rsid w:val="004837ED"/>
    <w:rsid w:val="00493C40"/>
    <w:rsid w:val="004A0472"/>
    <w:rsid w:val="004B21A5"/>
    <w:rsid w:val="004D12F0"/>
    <w:rsid w:val="005033E5"/>
    <w:rsid w:val="00515960"/>
    <w:rsid w:val="00525BC1"/>
    <w:rsid w:val="0053065E"/>
    <w:rsid w:val="005348CC"/>
    <w:rsid w:val="00535B4F"/>
    <w:rsid w:val="00557DC5"/>
    <w:rsid w:val="0056000D"/>
    <w:rsid w:val="00577786"/>
    <w:rsid w:val="00582F72"/>
    <w:rsid w:val="00587BEA"/>
    <w:rsid w:val="0059400D"/>
    <w:rsid w:val="005C105B"/>
    <w:rsid w:val="005C1167"/>
    <w:rsid w:val="005C509B"/>
    <w:rsid w:val="005D1DF2"/>
    <w:rsid w:val="005D2673"/>
    <w:rsid w:val="005E0E08"/>
    <w:rsid w:val="005E2645"/>
    <w:rsid w:val="005E4822"/>
    <w:rsid w:val="005F324D"/>
    <w:rsid w:val="005F57CA"/>
    <w:rsid w:val="005F7F97"/>
    <w:rsid w:val="006001FF"/>
    <w:rsid w:val="00613752"/>
    <w:rsid w:val="006212F2"/>
    <w:rsid w:val="00624E9E"/>
    <w:rsid w:val="0064283C"/>
    <w:rsid w:val="0065238A"/>
    <w:rsid w:val="00663FB0"/>
    <w:rsid w:val="00694452"/>
    <w:rsid w:val="006A45E0"/>
    <w:rsid w:val="006B6C54"/>
    <w:rsid w:val="006C0FBE"/>
    <w:rsid w:val="006C78DF"/>
    <w:rsid w:val="006E13B4"/>
    <w:rsid w:val="006E2435"/>
    <w:rsid w:val="006E3CDF"/>
    <w:rsid w:val="006F4AB2"/>
    <w:rsid w:val="006F5DCF"/>
    <w:rsid w:val="00702AE1"/>
    <w:rsid w:val="00723337"/>
    <w:rsid w:val="00734C19"/>
    <w:rsid w:val="00736D37"/>
    <w:rsid w:val="00741F00"/>
    <w:rsid w:val="00742B88"/>
    <w:rsid w:val="007545C4"/>
    <w:rsid w:val="007620DB"/>
    <w:rsid w:val="00762857"/>
    <w:rsid w:val="00762C32"/>
    <w:rsid w:val="00763159"/>
    <w:rsid w:val="007B70B9"/>
    <w:rsid w:val="007C2FCF"/>
    <w:rsid w:val="007D43FA"/>
    <w:rsid w:val="007D7C0B"/>
    <w:rsid w:val="007E4CC4"/>
    <w:rsid w:val="007F0E6E"/>
    <w:rsid w:val="007F1A1E"/>
    <w:rsid w:val="007F3B0B"/>
    <w:rsid w:val="0080468D"/>
    <w:rsid w:val="0081737A"/>
    <w:rsid w:val="00831C69"/>
    <w:rsid w:val="008320C1"/>
    <w:rsid w:val="00837985"/>
    <w:rsid w:val="0085771E"/>
    <w:rsid w:val="00873003"/>
    <w:rsid w:val="0088313F"/>
    <w:rsid w:val="008B5020"/>
    <w:rsid w:val="008B5198"/>
    <w:rsid w:val="008C4A1F"/>
    <w:rsid w:val="008E3447"/>
    <w:rsid w:val="008E3BB0"/>
    <w:rsid w:val="008E6672"/>
    <w:rsid w:val="008F3170"/>
    <w:rsid w:val="00926248"/>
    <w:rsid w:val="0093551B"/>
    <w:rsid w:val="009357C4"/>
    <w:rsid w:val="00955912"/>
    <w:rsid w:val="00964976"/>
    <w:rsid w:val="00990EE1"/>
    <w:rsid w:val="00995316"/>
    <w:rsid w:val="009A0088"/>
    <w:rsid w:val="009B555A"/>
    <w:rsid w:val="009C0861"/>
    <w:rsid w:val="009D5D53"/>
    <w:rsid w:val="009E10FC"/>
    <w:rsid w:val="00A06C57"/>
    <w:rsid w:val="00A20810"/>
    <w:rsid w:val="00A505BB"/>
    <w:rsid w:val="00AA152D"/>
    <w:rsid w:val="00AA342F"/>
    <w:rsid w:val="00AA755C"/>
    <w:rsid w:val="00AA7661"/>
    <w:rsid w:val="00AE08C9"/>
    <w:rsid w:val="00AF6C72"/>
    <w:rsid w:val="00B02A8F"/>
    <w:rsid w:val="00B040C7"/>
    <w:rsid w:val="00B0569C"/>
    <w:rsid w:val="00B06A99"/>
    <w:rsid w:val="00B07AE2"/>
    <w:rsid w:val="00B108E5"/>
    <w:rsid w:val="00B73F2C"/>
    <w:rsid w:val="00B908EA"/>
    <w:rsid w:val="00B90BE9"/>
    <w:rsid w:val="00BA0CAC"/>
    <w:rsid w:val="00BC5379"/>
    <w:rsid w:val="00BD26A0"/>
    <w:rsid w:val="00BE2775"/>
    <w:rsid w:val="00BE3B48"/>
    <w:rsid w:val="00BF33F9"/>
    <w:rsid w:val="00BF615F"/>
    <w:rsid w:val="00BF701F"/>
    <w:rsid w:val="00BF7178"/>
    <w:rsid w:val="00C12502"/>
    <w:rsid w:val="00C3514C"/>
    <w:rsid w:val="00C42260"/>
    <w:rsid w:val="00C44260"/>
    <w:rsid w:val="00C50914"/>
    <w:rsid w:val="00C642C3"/>
    <w:rsid w:val="00C71340"/>
    <w:rsid w:val="00C8695B"/>
    <w:rsid w:val="00C90C3A"/>
    <w:rsid w:val="00C94BA7"/>
    <w:rsid w:val="00CA507D"/>
    <w:rsid w:val="00CB635C"/>
    <w:rsid w:val="00CC1881"/>
    <w:rsid w:val="00CC3B97"/>
    <w:rsid w:val="00CD0142"/>
    <w:rsid w:val="00D03D03"/>
    <w:rsid w:val="00D36D91"/>
    <w:rsid w:val="00D4069E"/>
    <w:rsid w:val="00D62A74"/>
    <w:rsid w:val="00D76C39"/>
    <w:rsid w:val="00D9283C"/>
    <w:rsid w:val="00D95917"/>
    <w:rsid w:val="00DA0813"/>
    <w:rsid w:val="00DA43A5"/>
    <w:rsid w:val="00DC3D27"/>
    <w:rsid w:val="00DC4337"/>
    <w:rsid w:val="00DE58DC"/>
    <w:rsid w:val="00E10D25"/>
    <w:rsid w:val="00E20E9C"/>
    <w:rsid w:val="00E40FE2"/>
    <w:rsid w:val="00E46001"/>
    <w:rsid w:val="00E672DC"/>
    <w:rsid w:val="00E87A6F"/>
    <w:rsid w:val="00E94BD3"/>
    <w:rsid w:val="00EA5AF4"/>
    <w:rsid w:val="00EB7B1F"/>
    <w:rsid w:val="00EC4F7A"/>
    <w:rsid w:val="00EE1DF9"/>
    <w:rsid w:val="00EF37ED"/>
    <w:rsid w:val="00F03085"/>
    <w:rsid w:val="00F15C07"/>
    <w:rsid w:val="00F2545F"/>
    <w:rsid w:val="00F559A2"/>
    <w:rsid w:val="00F56504"/>
    <w:rsid w:val="00F61FE8"/>
    <w:rsid w:val="00F77967"/>
    <w:rsid w:val="00FA394A"/>
    <w:rsid w:val="00FB464F"/>
    <w:rsid w:val="00FB4CAD"/>
    <w:rsid w:val="00FC0986"/>
    <w:rsid w:val="00FC6BA4"/>
    <w:rsid w:val="00FE55DE"/>
    <w:rsid w:val="00FF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0F69C"/>
  <w15:docId w15:val="{7BF7FC5E-7B10-4686-B855-049D7056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Premr Pro" w:eastAsiaTheme="minorHAnsi" w:hAnsi="Garamond Premr Pro"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B4F"/>
    <w:pPr>
      <w:spacing w:line="240" w:lineRule="auto"/>
      <w:jc w:val="both"/>
    </w:pPr>
    <w:rPr>
      <w:sz w:val="22"/>
    </w:rPr>
  </w:style>
  <w:style w:type="paragraph" w:styleId="Heading1">
    <w:name w:val="heading 1"/>
    <w:next w:val="Normal"/>
    <w:link w:val="Heading1Char"/>
    <w:qFormat/>
    <w:rsid w:val="002B23FE"/>
    <w:pPr>
      <w:keepNext/>
      <w:keepLines/>
      <w:numPr>
        <w:numId w:val="3"/>
      </w:numPr>
      <w:spacing w:before="480" w:after="0"/>
      <w:jc w:val="center"/>
      <w:outlineLvl w:val="0"/>
    </w:pPr>
    <w:rPr>
      <w:rFonts w:eastAsiaTheme="majorEastAsia" w:cstheme="majorBidi"/>
      <w:b/>
      <w:bCs/>
      <w:sz w:val="36"/>
      <w:szCs w:val="36"/>
    </w:rPr>
  </w:style>
  <w:style w:type="paragraph" w:styleId="Heading2">
    <w:name w:val="heading 2"/>
    <w:basedOn w:val="Heading1"/>
    <w:next w:val="Normal"/>
    <w:link w:val="Heading2Char"/>
    <w:unhideWhenUsed/>
    <w:qFormat/>
    <w:rsid w:val="006001FF"/>
    <w:pPr>
      <w:numPr>
        <w:ilvl w:val="1"/>
      </w:numPr>
      <w:suppressAutoHyphens/>
      <w:spacing w:after="120"/>
      <w:jc w:val="left"/>
      <w:outlineLvl w:val="1"/>
    </w:pPr>
    <w:rPr>
      <w:sz w:val="32"/>
      <w:szCs w:val="32"/>
    </w:rPr>
  </w:style>
  <w:style w:type="paragraph" w:styleId="Heading3">
    <w:name w:val="heading 3"/>
    <w:basedOn w:val="Heading2"/>
    <w:next w:val="Normal"/>
    <w:link w:val="Heading3Char"/>
    <w:unhideWhenUsed/>
    <w:qFormat/>
    <w:rsid w:val="006001FF"/>
    <w:pPr>
      <w:numPr>
        <w:ilvl w:val="2"/>
      </w:numPr>
      <w:tabs>
        <w:tab w:val="left" w:pos="900"/>
      </w:tabs>
      <w:outlineLvl w:val="2"/>
    </w:pPr>
    <w:rPr>
      <w:sz w:val="28"/>
      <w:szCs w:val="28"/>
    </w:rPr>
  </w:style>
  <w:style w:type="paragraph" w:styleId="Heading4">
    <w:name w:val="heading 4"/>
    <w:basedOn w:val="Heading3"/>
    <w:next w:val="Normal"/>
    <w:link w:val="Heading4Char"/>
    <w:unhideWhenUsed/>
    <w:qFormat/>
    <w:rsid w:val="006001FF"/>
    <w:pPr>
      <w:numPr>
        <w:ilvl w:val="3"/>
      </w:numPr>
      <w:tabs>
        <w:tab w:val="left" w:pos="1620"/>
      </w:tabs>
      <w:outlineLvl w:val="3"/>
    </w:pPr>
  </w:style>
  <w:style w:type="paragraph" w:styleId="Heading5">
    <w:name w:val="heading 5"/>
    <w:basedOn w:val="Heading4"/>
    <w:next w:val="Normal"/>
    <w:link w:val="Heading5Char"/>
    <w:uiPriority w:val="9"/>
    <w:unhideWhenUsed/>
    <w:rsid w:val="006001FF"/>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01FF"/>
    <w:pPr>
      <w:spacing w:after="300"/>
      <w:contextualSpacing/>
      <w:jc w:val="center"/>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6001FF"/>
    <w:rPr>
      <w:rFonts w:eastAsiaTheme="majorEastAsia" w:cstheme="majorBidi"/>
      <w:color w:val="000000" w:themeColor="text1"/>
      <w:spacing w:val="5"/>
      <w:kern w:val="28"/>
      <w:sz w:val="52"/>
      <w:szCs w:val="52"/>
    </w:rPr>
  </w:style>
  <w:style w:type="paragraph" w:styleId="Subtitle">
    <w:name w:val="Subtitle"/>
    <w:basedOn w:val="Normal"/>
    <w:next w:val="Normal"/>
    <w:link w:val="SubtitleChar"/>
    <w:uiPriority w:val="11"/>
    <w:qFormat/>
    <w:rsid w:val="006001FF"/>
    <w:pPr>
      <w:jc w:val="center"/>
    </w:pPr>
    <w:rPr>
      <w:sz w:val="40"/>
      <w:szCs w:val="40"/>
    </w:rPr>
  </w:style>
  <w:style w:type="character" w:customStyle="1" w:styleId="SubtitleChar">
    <w:name w:val="Subtitle Char"/>
    <w:basedOn w:val="DefaultParagraphFont"/>
    <w:link w:val="Subtitle"/>
    <w:uiPriority w:val="11"/>
    <w:rsid w:val="006001FF"/>
    <w:rPr>
      <w:sz w:val="40"/>
      <w:szCs w:val="40"/>
    </w:rPr>
  </w:style>
  <w:style w:type="character" w:customStyle="1" w:styleId="Heading1Char">
    <w:name w:val="Heading 1 Char"/>
    <w:basedOn w:val="DefaultParagraphFont"/>
    <w:link w:val="Heading1"/>
    <w:rsid w:val="002B23FE"/>
    <w:rPr>
      <w:rFonts w:eastAsiaTheme="majorEastAsia" w:cstheme="majorBidi"/>
      <w:b/>
      <w:bCs/>
      <w:sz w:val="36"/>
      <w:szCs w:val="36"/>
    </w:rPr>
  </w:style>
  <w:style w:type="character" w:customStyle="1" w:styleId="Heading2Char">
    <w:name w:val="Heading 2 Char"/>
    <w:basedOn w:val="DefaultParagraphFont"/>
    <w:link w:val="Heading2"/>
    <w:rsid w:val="006001FF"/>
    <w:rPr>
      <w:rFonts w:eastAsiaTheme="majorEastAsia" w:cstheme="majorBidi"/>
      <w:b/>
      <w:bCs/>
      <w:sz w:val="32"/>
      <w:szCs w:val="32"/>
    </w:rPr>
  </w:style>
  <w:style w:type="paragraph" w:customStyle="1" w:styleId="BodyText4">
    <w:name w:val="Body Text 4"/>
    <w:basedOn w:val="BodyText3"/>
    <w:qFormat/>
    <w:rsid w:val="006001FF"/>
  </w:style>
  <w:style w:type="paragraph" w:styleId="BodyText">
    <w:name w:val="Body Text"/>
    <w:basedOn w:val="Normal"/>
    <w:link w:val="BodyTextChar"/>
    <w:uiPriority w:val="99"/>
    <w:semiHidden/>
    <w:unhideWhenUsed/>
    <w:rsid w:val="006001FF"/>
    <w:pPr>
      <w:spacing w:after="120"/>
    </w:pPr>
  </w:style>
  <w:style w:type="character" w:customStyle="1" w:styleId="BodyTextChar">
    <w:name w:val="Body Text Char"/>
    <w:basedOn w:val="DefaultParagraphFont"/>
    <w:link w:val="BodyText"/>
    <w:uiPriority w:val="99"/>
    <w:semiHidden/>
    <w:rsid w:val="006001FF"/>
    <w:rPr>
      <w:sz w:val="22"/>
    </w:rPr>
  </w:style>
  <w:style w:type="character" w:customStyle="1" w:styleId="Heading3Char">
    <w:name w:val="Heading 3 Char"/>
    <w:basedOn w:val="DefaultParagraphFont"/>
    <w:link w:val="Heading3"/>
    <w:rsid w:val="006001FF"/>
    <w:rPr>
      <w:rFonts w:eastAsiaTheme="majorEastAsia" w:cstheme="majorBidi"/>
      <w:b/>
      <w:bCs/>
      <w:sz w:val="28"/>
      <w:szCs w:val="28"/>
    </w:rPr>
  </w:style>
  <w:style w:type="paragraph" w:styleId="BalloonText">
    <w:name w:val="Balloon Text"/>
    <w:basedOn w:val="Normal"/>
    <w:link w:val="BalloonTextChar"/>
    <w:uiPriority w:val="99"/>
    <w:semiHidden/>
    <w:unhideWhenUsed/>
    <w:rsid w:val="006001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1FF"/>
    <w:rPr>
      <w:rFonts w:ascii="Tahoma" w:hAnsi="Tahoma" w:cs="Tahoma"/>
      <w:sz w:val="16"/>
      <w:szCs w:val="16"/>
    </w:rPr>
  </w:style>
  <w:style w:type="character" w:customStyle="1" w:styleId="Heading4Char">
    <w:name w:val="Heading 4 Char"/>
    <w:basedOn w:val="DefaultParagraphFont"/>
    <w:link w:val="Heading4"/>
    <w:rsid w:val="006001FF"/>
    <w:rPr>
      <w:rFonts w:eastAsiaTheme="majorEastAsia" w:cstheme="majorBidi"/>
      <w:b/>
      <w:bCs/>
      <w:sz w:val="28"/>
      <w:szCs w:val="28"/>
    </w:rPr>
  </w:style>
  <w:style w:type="paragraph" w:styleId="ListParagraph">
    <w:name w:val="List Paragraph"/>
    <w:basedOn w:val="Normal"/>
    <w:uiPriority w:val="34"/>
    <w:qFormat/>
    <w:rsid w:val="006001FF"/>
    <w:pPr>
      <w:ind w:left="720"/>
      <w:contextualSpacing/>
    </w:pPr>
  </w:style>
  <w:style w:type="paragraph" w:styleId="Header">
    <w:name w:val="header"/>
    <w:basedOn w:val="Normal"/>
    <w:link w:val="HeaderChar"/>
    <w:uiPriority w:val="99"/>
    <w:unhideWhenUsed/>
    <w:rsid w:val="006001FF"/>
    <w:pPr>
      <w:pBdr>
        <w:bottom w:val="single" w:sz="8" w:space="1" w:color="BFBFBF" w:themeColor="background1" w:themeShade="BF"/>
      </w:pBdr>
      <w:tabs>
        <w:tab w:val="right" w:pos="9000"/>
      </w:tabs>
      <w:spacing w:after="120"/>
      <w:jc w:val="left"/>
    </w:pPr>
    <w:rPr>
      <w:spacing w:val="60"/>
    </w:rPr>
  </w:style>
  <w:style w:type="character" w:customStyle="1" w:styleId="HeaderChar">
    <w:name w:val="Header Char"/>
    <w:basedOn w:val="DefaultParagraphFont"/>
    <w:link w:val="Header"/>
    <w:uiPriority w:val="99"/>
    <w:rsid w:val="006001FF"/>
    <w:rPr>
      <w:spacing w:val="60"/>
      <w:sz w:val="22"/>
    </w:rPr>
  </w:style>
  <w:style w:type="paragraph" w:styleId="Footer">
    <w:name w:val="footer"/>
    <w:basedOn w:val="Normal"/>
    <w:link w:val="FooterChar"/>
    <w:uiPriority w:val="99"/>
    <w:unhideWhenUsed/>
    <w:rsid w:val="006001FF"/>
    <w:pPr>
      <w:tabs>
        <w:tab w:val="center" w:pos="4680"/>
        <w:tab w:val="right" w:pos="9360"/>
      </w:tabs>
      <w:spacing w:after="0"/>
    </w:pPr>
  </w:style>
  <w:style w:type="character" w:customStyle="1" w:styleId="FooterChar">
    <w:name w:val="Footer Char"/>
    <w:basedOn w:val="DefaultParagraphFont"/>
    <w:link w:val="Footer"/>
    <w:uiPriority w:val="99"/>
    <w:rsid w:val="006001FF"/>
    <w:rPr>
      <w:sz w:val="22"/>
    </w:rPr>
  </w:style>
  <w:style w:type="paragraph" w:customStyle="1" w:styleId="PartTitle">
    <w:name w:val="Part Title"/>
    <w:basedOn w:val="Normal"/>
    <w:next w:val="Normal"/>
    <w:qFormat/>
    <w:rsid w:val="006001FF"/>
    <w:pPr>
      <w:jc w:val="center"/>
    </w:pPr>
    <w:rPr>
      <w:sz w:val="52"/>
      <w:szCs w:val="52"/>
    </w:rPr>
  </w:style>
  <w:style w:type="character" w:customStyle="1" w:styleId="Heading5Char">
    <w:name w:val="Heading 5 Char"/>
    <w:basedOn w:val="DefaultParagraphFont"/>
    <w:link w:val="Heading5"/>
    <w:uiPriority w:val="9"/>
    <w:rsid w:val="006001FF"/>
    <w:rPr>
      <w:rFonts w:eastAsiaTheme="majorEastAsia" w:cstheme="majorBidi"/>
      <w:b/>
      <w:bCs/>
      <w:sz w:val="28"/>
      <w:szCs w:val="28"/>
    </w:rPr>
  </w:style>
  <w:style w:type="paragraph" w:styleId="BodyText2">
    <w:name w:val="Body Text 2"/>
    <w:basedOn w:val="BodyText1"/>
    <w:link w:val="BodyText2Char"/>
    <w:uiPriority w:val="99"/>
    <w:unhideWhenUsed/>
    <w:qFormat/>
    <w:rsid w:val="006001FF"/>
  </w:style>
  <w:style w:type="character" w:customStyle="1" w:styleId="BodyText2Char">
    <w:name w:val="Body Text 2 Char"/>
    <w:basedOn w:val="DefaultParagraphFont"/>
    <w:link w:val="BodyText2"/>
    <w:uiPriority w:val="99"/>
    <w:rsid w:val="006001FF"/>
    <w:rPr>
      <w:sz w:val="22"/>
    </w:rPr>
  </w:style>
  <w:style w:type="paragraph" w:styleId="BodyText3">
    <w:name w:val="Body Text 3"/>
    <w:basedOn w:val="BodyText2"/>
    <w:next w:val="Heading3"/>
    <w:link w:val="BodyText3Char"/>
    <w:uiPriority w:val="99"/>
    <w:unhideWhenUsed/>
    <w:rsid w:val="006001FF"/>
  </w:style>
  <w:style w:type="character" w:customStyle="1" w:styleId="BodyText3Char">
    <w:name w:val="Body Text 3 Char"/>
    <w:basedOn w:val="DefaultParagraphFont"/>
    <w:link w:val="BodyText3"/>
    <w:uiPriority w:val="99"/>
    <w:rsid w:val="006001FF"/>
    <w:rPr>
      <w:sz w:val="22"/>
    </w:rPr>
  </w:style>
  <w:style w:type="paragraph" w:customStyle="1" w:styleId="BodyText1">
    <w:name w:val="Body Text 1"/>
    <w:basedOn w:val="Normal"/>
    <w:qFormat/>
    <w:rsid w:val="006001FF"/>
  </w:style>
  <w:style w:type="paragraph" w:styleId="Caption">
    <w:name w:val="caption"/>
    <w:basedOn w:val="Normal"/>
    <w:next w:val="Normal"/>
    <w:unhideWhenUsed/>
    <w:qFormat/>
    <w:rsid w:val="006001FF"/>
    <w:rPr>
      <w:b/>
      <w:bCs/>
      <w:szCs w:val="22"/>
    </w:rPr>
  </w:style>
  <w:style w:type="paragraph" w:customStyle="1" w:styleId="Exhibit">
    <w:name w:val="Exhibit"/>
    <w:basedOn w:val="Caption"/>
    <w:qFormat/>
    <w:rsid w:val="006001FF"/>
    <w:pPr>
      <w:keepNext/>
      <w:spacing w:after="120"/>
      <w:jc w:val="center"/>
    </w:pPr>
    <w:rPr>
      <w:sz w:val="24"/>
      <w:szCs w:val="24"/>
    </w:rPr>
  </w:style>
  <w:style w:type="table" w:styleId="TableGrid">
    <w:name w:val="Table Grid"/>
    <w:basedOn w:val="TableNormal"/>
    <w:rsid w:val="006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6001F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
    <w:name w:val="Medium Grid 3"/>
    <w:basedOn w:val="TableNormal"/>
    <w:uiPriority w:val="69"/>
    <w:rsid w:val="006001F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2-Accent2">
    <w:name w:val="Medium Shading 2 Accent 2"/>
    <w:basedOn w:val="TableNormal"/>
    <w:uiPriority w:val="64"/>
    <w:rsid w:val="006001F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unhideWhenUsed/>
    <w:qFormat/>
    <w:rsid w:val="006001FF"/>
    <w:pPr>
      <w:numPr>
        <w:numId w:val="0"/>
      </w:numPr>
      <w:jc w:val="left"/>
      <w:outlineLvl w:val="9"/>
    </w:pPr>
    <w:rPr>
      <w:rFonts w:asciiTheme="majorHAnsi" w:hAnsiTheme="majorHAnsi"/>
      <w:color w:val="365F91" w:themeColor="accent1" w:themeShade="BF"/>
      <w:lang w:eastAsia="ja-JP"/>
    </w:rPr>
  </w:style>
  <w:style w:type="paragraph" w:styleId="TOC2">
    <w:name w:val="toc 2"/>
    <w:basedOn w:val="Normal"/>
    <w:next w:val="Normal"/>
    <w:autoRedefine/>
    <w:uiPriority w:val="39"/>
    <w:unhideWhenUsed/>
    <w:qFormat/>
    <w:rsid w:val="006001FF"/>
    <w:pPr>
      <w:tabs>
        <w:tab w:val="left" w:pos="720"/>
        <w:tab w:val="right" w:leader="dot" w:pos="8990"/>
      </w:tabs>
      <w:spacing w:after="100"/>
      <w:ind w:left="180"/>
      <w:jc w:val="left"/>
    </w:pPr>
    <w:rPr>
      <w:rFonts w:eastAsiaTheme="minorEastAsia"/>
      <w:noProof/>
      <w:lang w:eastAsia="ja-JP"/>
    </w:rPr>
  </w:style>
  <w:style w:type="paragraph" w:styleId="TOC1">
    <w:name w:val="toc 1"/>
    <w:basedOn w:val="Normal"/>
    <w:next w:val="Normal"/>
    <w:autoRedefine/>
    <w:uiPriority w:val="39"/>
    <w:unhideWhenUsed/>
    <w:qFormat/>
    <w:rsid w:val="006001FF"/>
    <w:pPr>
      <w:tabs>
        <w:tab w:val="right" w:leader="dot" w:pos="8990"/>
      </w:tabs>
      <w:spacing w:after="100"/>
      <w:jc w:val="left"/>
    </w:pPr>
    <w:rPr>
      <w:rFonts w:eastAsiaTheme="minorEastAsia"/>
      <w:b/>
      <w:noProof/>
      <w:lang w:eastAsia="ja-JP"/>
    </w:rPr>
  </w:style>
  <w:style w:type="paragraph" w:styleId="TOC3">
    <w:name w:val="toc 3"/>
    <w:basedOn w:val="Normal"/>
    <w:next w:val="Normal"/>
    <w:autoRedefine/>
    <w:uiPriority w:val="39"/>
    <w:unhideWhenUsed/>
    <w:qFormat/>
    <w:rsid w:val="006001FF"/>
    <w:pPr>
      <w:tabs>
        <w:tab w:val="left" w:pos="1320"/>
        <w:tab w:val="right" w:leader="dot" w:pos="8990"/>
      </w:tabs>
      <w:spacing w:after="100"/>
      <w:ind w:left="720"/>
      <w:jc w:val="left"/>
    </w:pPr>
    <w:rPr>
      <w:rFonts w:eastAsiaTheme="minorEastAsia"/>
      <w:noProof/>
      <w:szCs w:val="22"/>
      <w:lang w:eastAsia="ja-JP"/>
    </w:rPr>
  </w:style>
  <w:style w:type="character" w:styleId="Hyperlink">
    <w:name w:val="Hyperlink"/>
    <w:basedOn w:val="BodyText2Char"/>
    <w:uiPriority w:val="99"/>
    <w:unhideWhenUsed/>
    <w:rsid w:val="006001FF"/>
    <w:rPr>
      <w:rFonts w:ascii="Garamond" w:hAnsi="Garamond"/>
      <w:color w:val="0000FF" w:themeColor="hyperlink"/>
      <w:sz w:val="24"/>
      <w:szCs w:val="24"/>
      <w:u w:val="single"/>
    </w:rPr>
  </w:style>
  <w:style w:type="paragraph" w:styleId="NoSpacing">
    <w:name w:val="No Spacing"/>
    <w:link w:val="NoSpacingChar"/>
    <w:uiPriority w:val="1"/>
    <w:qFormat/>
    <w:rsid w:val="006001F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001FF"/>
    <w:rPr>
      <w:rFonts w:eastAsiaTheme="minorEastAsia"/>
      <w:lang w:eastAsia="ja-JP"/>
    </w:rPr>
  </w:style>
  <w:style w:type="paragraph" w:styleId="FootnoteText">
    <w:name w:val="footnote text"/>
    <w:basedOn w:val="Normal"/>
    <w:link w:val="FootnoteTextChar"/>
    <w:rsid w:val="006001FF"/>
    <w:pPr>
      <w:spacing w:after="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001FF"/>
    <w:rPr>
      <w:rFonts w:ascii="Times New Roman" w:eastAsia="Times New Roman" w:hAnsi="Times New Roman" w:cs="Times New Roman"/>
      <w:sz w:val="20"/>
      <w:szCs w:val="20"/>
    </w:rPr>
  </w:style>
  <w:style w:type="character" w:styleId="FootnoteReference">
    <w:name w:val="footnote reference"/>
    <w:basedOn w:val="DefaultParagraphFont"/>
    <w:rsid w:val="006001FF"/>
    <w:rPr>
      <w:vertAlign w:val="superscript"/>
    </w:rPr>
  </w:style>
  <w:style w:type="character" w:styleId="IntenseEmphasis">
    <w:name w:val="Intense Emphasis"/>
    <w:basedOn w:val="DefaultParagraphFont"/>
    <w:uiPriority w:val="21"/>
    <w:qFormat/>
    <w:rsid w:val="006001FF"/>
    <w:rPr>
      <w:b/>
      <w:bCs/>
      <w:i/>
      <w:iCs/>
      <w:color w:val="000000" w:themeColor="text1"/>
    </w:rPr>
  </w:style>
  <w:style w:type="paragraph" w:styleId="TOC4">
    <w:name w:val="toc 4"/>
    <w:basedOn w:val="Normal"/>
    <w:next w:val="Normal"/>
    <w:autoRedefine/>
    <w:uiPriority w:val="39"/>
    <w:unhideWhenUsed/>
    <w:rsid w:val="006001FF"/>
    <w:pPr>
      <w:spacing w:after="100"/>
      <w:ind w:left="720"/>
    </w:pPr>
  </w:style>
  <w:style w:type="paragraph" w:styleId="Quote">
    <w:name w:val="Quote"/>
    <w:basedOn w:val="Normal"/>
    <w:next w:val="Normal"/>
    <w:link w:val="QuoteChar"/>
    <w:uiPriority w:val="29"/>
    <w:qFormat/>
    <w:rsid w:val="006001FF"/>
    <w:pPr>
      <w:ind w:left="360" w:right="360"/>
    </w:pPr>
    <w:rPr>
      <w:i/>
      <w:iCs/>
      <w:color w:val="000000" w:themeColor="text1"/>
    </w:rPr>
  </w:style>
  <w:style w:type="character" w:customStyle="1" w:styleId="QuoteChar">
    <w:name w:val="Quote Char"/>
    <w:basedOn w:val="DefaultParagraphFont"/>
    <w:link w:val="Quote"/>
    <w:uiPriority w:val="29"/>
    <w:rsid w:val="006001FF"/>
    <w:rPr>
      <w:i/>
      <w:iCs/>
      <w:color w:val="000000" w:themeColor="text1"/>
      <w:sz w:val="22"/>
    </w:rPr>
  </w:style>
  <w:style w:type="character" w:styleId="CommentReference">
    <w:name w:val="annotation reference"/>
    <w:basedOn w:val="DefaultParagraphFont"/>
    <w:uiPriority w:val="99"/>
    <w:semiHidden/>
    <w:unhideWhenUsed/>
    <w:rsid w:val="006001FF"/>
    <w:rPr>
      <w:sz w:val="16"/>
      <w:szCs w:val="16"/>
    </w:rPr>
  </w:style>
  <w:style w:type="paragraph" w:styleId="CommentText">
    <w:name w:val="annotation text"/>
    <w:basedOn w:val="Normal"/>
    <w:link w:val="CommentTextChar"/>
    <w:uiPriority w:val="99"/>
    <w:semiHidden/>
    <w:unhideWhenUsed/>
    <w:rsid w:val="006001FF"/>
    <w:rPr>
      <w:sz w:val="20"/>
      <w:szCs w:val="20"/>
    </w:rPr>
  </w:style>
  <w:style w:type="character" w:customStyle="1" w:styleId="CommentTextChar">
    <w:name w:val="Comment Text Char"/>
    <w:basedOn w:val="DefaultParagraphFont"/>
    <w:link w:val="CommentText"/>
    <w:uiPriority w:val="99"/>
    <w:semiHidden/>
    <w:rsid w:val="006001FF"/>
    <w:rPr>
      <w:sz w:val="20"/>
      <w:szCs w:val="20"/>
    </w:rPr>
  </w:style>
  <w:style w:type="paragraph" w:styleId="CommentSubject">
    <w:name w:val="annotation subject"/>
    <w:basedOn w:val="CommentText"/>
    <w:next w:val="CommentText"/>
    <w:link w:val="CommentSubjectChar"/>
    <w:uiPriority w:val="99"/>
    <w:semiHidden/>
    <w:unhideWhenUsed/>
    <w:rsid w:val="006001FF"/>
    <w:rPr>
      <w:b/>
      <w:bCs/>
    </w:rPr>
  </w:style>
  <w:style w:type="character" w:customStyle="1" w:styleId="CommentSubjectChar">
    <w:name w:val="Comment Subject Char"/>
    <w:basedOn w:val="CommentTextChar"/>
    <w:link w:val="CommentSubject"/>
    <w:uiPriority w:val="99"/>
    <w:semiHidden/>
    <w:rsid w:val="006001FF"/>
    <w:rPr>
      <w:b/>
      <w:bCs/>
      <w:sz w:val="20"/>
      <w:szCs w:val="20"/>
    </w:rPr>
  </w:style>
  <w:style w:type="paragraph" w:customStyle="1" w:styleId="MTDisplayEquation">
    <w:name w:val="MTDisplayEquation"/>
    <w:basedOn w:val="Normal"/>
    <w:next w:val="Normal"/>
    <w:rsid w:val="0064283C"/>
    <w:pPr>
      <w:tabs>
        <w:tab w:val="center" w:pos="4960"/>
        <w:tab w:val="right" w:pos="9360"/>
      </w:tabs>
      <w:spacing w:after="0"/>
      <w:ind w:left="540"/>
    </w:pPr>
    <w:rPr>
      <w:rFonts w:ascii="Times New Roman" w:eastAsia="Times New Roman" w:hAnsi="Times New Roman" w:cs="Times New Roman"/>
      <w:sz w:val="24"/>
    </w:rPr>
  </w:style>
  <w:style w:type="paragraph" w:styleId="PlainText">
    <w:name w:val="Plain Text"/>
    <w:basedOn w:val="Normal"/>
    <w:link w:val="PlainTextChar"/>
    <w:uiPriority w:val="99"/>
    <w:semiHidden/>
    <w:unhideWhenUsed/>
    <w:rsid w:val="00990EE1"/>
    <w:pPr>
      <w:spacing w:after="0"/>
      <w:jc w:val="left"/>
    </w:pPr>
    <w:rPr>
      <w:rFonts w:ascii="Calibri" w:hAnsi="Calibri"/>
      <w:szCs w:val="21"/>
    </w:rPr>
  </w:style>
  <w:style w:type="character" w:customStyle="1" w:styleId="PlainTextChar">
    <w:name w:val="Plain Text Char"/>
    <w:basedOn w:val="DefaultParagraphFont"/>
    <w:link w:val="PlainText"/>
    <w:uiPriority w:val="99"/>
    <w:semiHidden/>
    <w:rsid w:val="00990EE1"/>
    <w:rPr>
      <w:rFonts w:ascii="Calibri" w:hAnsi="Calibri"/>
      <w:sz w:val="22"/>
      <w:szCs w:val="21"/>
    </w:rPr>
  </w:style>
  <w:style w:type="character" w:styleId="UnresolvedMention">
    <w:name w:val="Unresolved Mention"/>
    <w:basedOn w:val="DefaultParagraphFont"/>
    <w:uiPriority w:val="99"/>
    <w:semiHidden/>
    <w:unhideWhenUsed/>
    <w:rsid w:val="00857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7318">
      <w:bodyDiv w:val="1"/>
      <w:marLeft w:val="0"/>
      <w:marRight w:val="0"/>
      <w:marTop w:val="0"/>
      <w:marBottom w:val="0"/>
      <w:divBdr>
        <w:top w:val="none" w:sz="0" w:space="0" w:color="auto"/>
        <w:left w:val="none" w:sz="0" w:space="0" w:color="auto"/>
        <w:bottom w:val="none" w:sz="0" w:space="0" w:color="auto"/>
        <w:right w:val="none" w:sz="0" w:space="0" w:color="auto"/>
      </w:divBdr>
    </w:div>
    <w:div w:id="323508694">
      <w:bodyDiv w:val="1"/>
      <w:marLeft w:val="0"/>
      <w:marRight w:val="0"/>
      <w:marTop w:val="0"/>
      <w:marBottom w:val="0"/>
      <w:divBdr>
        <w:top w:val="none" w:sz="0" w:space="0" w:color="auto"/>
        <w:left w:val="none" w:sz="0" w:space="0" w:color="auto"/>
        <w:bottom w:val="none" w:sz="0" w:space="0" w:color="auto"/>
        <w:right w:val="none" w:sz="0" w:space="0" w:color="auto"/>
      </w:divBdr>
    </w:div>
    <w:div w:id="507014997">
      <w:bodyDiv w:val="1"/>
      <w:marLeft w:val="0"/>
      <w:marRight w:val="0"/>
      <w:marTop w:val="0"/>
      <w:marBottom w:val="0"/>
      <w:divBdr>
        <w:top w:val="none" w:sz="0" w:space="0" w:color="auto"/>
        <w:left w:val="none" w:sz="0" w:space="0" w:color="auto"/>
        <w:bottom w:val="none" w:sz="0" w:space="0" w:color="auto"/>
        <w:right w:val="none" w:sz="0" w:space="0" w:color="auto"/>
      </w:divBdr>
    </w:div>
    <w:div w:id="842625687">
      <w:bodyDiv w:val="1"/>
      <w:marLeft w:val="0"/>
      <w:marRight w:val="0"/>
      <w:marTop w:val="0"/>
      <w:marBottom w:val="0"/>
      <w:divBdr>
        <w:top w:val="none" w:sz="0" w:space="0" w:color="auto"/>
        <w:left w:val="none" w:sz="0" w:space="0" w:color="auto"/>
        <w:bottom w:val="none" w:sz="0" w:space="0" w:color="auto"/>
        <w:right w:val="none" w:sz="0" w:space="0" w:color="auto"/>
      </w:divBdr>
    </w:div>
    <w:div w:id="1535343361">
      <w:bodyDiv w:val="1"/>
      <w:marLeft w:val="0"/>
      <w:marRight w:val="0"/>
      <w:marTop w:val="0"/>
      <w:marBottom w:val="0"/>
      <w:divBdr>
        <w:top w:val="none" w:sz="0" w:space="0" w:color="auto"/>
        <w:left w:val="none" w:sz="0" w:space="0" w:color="auto"/>
        <w:bottom w:val="none" w:sz="0" w:space="0" w:color="auto"/>
        <w:right w:val="none" w:sz="0" w:space="0" w:color="auto"/>
      </w:divBdr>
    </w:div>
    <w:div w:id="190028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8.bin"/><Relationship Id="rId21" Type="http://schemas.openxmlformats.org/officeDocument/2006/relationships/image" Target="media/image7.wmf"/><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4.wmf"/><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hyperlink" Target="https://www.naic.org/documents/pbr_data_val_2020_edition.pdf?96" TargetMode="External"/><Relationship Id="rId5" Type="http://schemas.openxmlformats.org/officeDocument/2006/relationships/webSettings" Target="webSettings.xml"/><Relationship Id="rId61" Type="http://schemas.openxmlformats.org/officeDocument/2006/relationships/image" Target="media/image24.e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8.wmf"/><Relationship Id="rId56" Type="http://schemas.openxmlformats.org/officeDocument/2006/relationships/image" Target="media/image21.wmf"/><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2.emf"/><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0.w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2.wmf"/><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image" Target="media/image16.wmf"/><Relationship Id="rId52" Type="http://schemas.openxmlformats.org/officeDocument/2006/relationships/oleObject" Target="embeddings/oleObject25.bin"/><Relationship Id="rId60"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Documents\Custom%20Office%20Templates\My%20Boo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Hor71</b:Tag>
    <b:SourceType>JournalArticle</b:SourceType>
    <b:Guid>{DDC2C3EB-378D-482F-A253-31F117EEF0FD}</b:Guid>
    <b:Title>Life Insurance Earnings and the Release from Risk Policy Reserve System</b:Title>
    <b:Year>1971</b:Year>
    <b:Publisher>Society of Actuaries</b:Publisher>
    <b:JournalName>Transactions</b:JournalName>
    <b:Pages>391-418</b:Pages>
    <b:Author>
      <b:Author>
        <b:NameList>
          <b:Person>
            <b:Last>Horn</b:Last>
            <b:Middle>G.</b:Middle>
            <b:First>Richard</b:First>
          </b:Person>
        </b:NameList>
      </b:Author>
    </b:Author>
    <b:Volume>XXIII Part I</b:Volume>
    <b:RefOrder>1</b:RefOrder>
  </b:Source>
  <b:Source>
    <b:Tag>Edw89</b:Tag>
    <b:SourceType>Book</b:SourceType>
    <b:Guid>{32161147-D605-43B7-9AEE-D93E8ED37274}</b:Guid>
    <b:Title>A History of Financial Accounting</b:Title>
    <b:Year>1989</b:Year>
    <b:Author>
      <b:Author>
        <b:NameList>
          <b:Person>
            <b:Last>Edwards</b:Last>
            <b:First>J.R.</b:First>
          </b:Person>
        </b:NameList>
      </b:Author>
    </b:Author>
    <b:Publisher>Routledge</b:Publisher>
    <b:RefOrder>2</b:RefOrder>
  </b:Source>
  <b:Source>
    <b:Tag>Ame72</b:Tag>
    <b:SourceType>Book</b:SourceType>
    <b:Guid>{AE4C1017-2876-4528-89E8-1D69070F9987}</b:Guid>
    <b:Author>
      <b:Author>
        <b:Corporate>American Institute of Certifiedd Public Accountants</b:Corporate>
      </b:Author>
    </b:Author>
    <b:Title>Audits of Stock Life Inusrance Companies</b:Title>
    <b:Year>1972</b:Year>
    <b:City>Washington D.C.</b:City>
    <b:Publisher>American Institute of Certifiedd Public Accountants</b:Publisher>
    <b:RefOrder>3</b:RefOrder>
  </b:Source>
  <b:Source>
    <b:Tag>Ame11</b:Tag>
    <b:SourceType>Report</b:SourceType>
    <b:Guid>{0D2193E3-7AD1-4B83-8A25-4B73ACF6BE32}</b:Guid>
    <b:Author>
      <b:Author>
        <b:Corporate>American Academy of Actuaires</b:Corporate>
      </b:Author>
    </b:Author>
    <b:Title>Market Consistent Embedded Values</b:Title>
    <b:Year>2011</b:Year>
    <b:City>Washington D.C.</b:City>
    <b:Publisher>American Academy of Actuaires</b:Publisher>
    <b:RefOrder>4</b:RefOrder>
  </b:Source>
</b:Sources>
</file>

<file path=customXml/itemProps1.xml><?xml version="1.0" encoding="utf-8"?>
<ds:datastoreItem xmlns:ds="http://schemas.openxmlformats.org/officeDocument/2006/customXml" ds:itemID="{90825BCC-F599-4790-9975-5E3098D1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Book Template.dotx</Template>
  <TotalTime>115</TotalTime>
  <Pages>13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J Lombardi</dc:creator>
  <cp:lastModifiedBy>Louis Lombardi</cp:lastModifiedBy>
  <cp:revision>18</cp:revision>
  <cp:lastPrinted>2018-10-31T17:59:00Z</cp:lastPrinted>
  <dcterms:created xsi:type="dcterms:W3CDTF">2019-10-11T22:06:00Z</dcterms:created>
  <dcterms:modified xsi:type="dcterms:W3CDTF">2022-01-13T13:03:00Z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